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AF3A3" w14:textId="1CD82E53" w:rsidR="004176C3" w:rsidRPr="00A4252C" w:rsidRDefault="008871F7" w:rsidP="00423577">
      <w:pPr>
        <w:spacing w:after="0" w:line="480" w:lineRule="exact"/>
        <w:jc w:val="right"/>
        <w:rPr>
          <w:rFonts w:ascii="Arial Narrow" w:hAnsi="Arial Narrow"/>
          <w:color w:val="17365D"/>
          <w:sz w:val="24"/>
          <w:szCs w:val="24"/>
        </w:rPr>
      </w:pPr>
      <w:r w:rsidRPr="00A4252C">
        <w:rPr>
          <w:rFonts w:ascii="Arial Narrow" w:hAnsi="Arial Narrow"/>
          <w:color w:val="17365D"/>
          <w:sz w:val="24"/>
          <w:szCs w:val="24"/>
        </w:rPr>
        <w:t>1</w:t>
      </w:r>
      <w:r>
        <w:rPr>
          <w:rFonts w:ascii="Arial Narrow" w:hAnsi="Arial Narrow"/>
          <w:color w:val="17365D"/>
          <w:sz w:val="24"/>
          <w:szCs w:val="24"/>
        </w:rPr>
        <w:t>9</w:t>
      </w:r>
      <w:r w:rsidRPr="00A4252C">
        <w:rPr>
          <w:rFonts w:ascii="Arial Narrow" w:hAnsi="Arial Narrow"/>
          <w:color w:val="17365D"/>
          <w:sz w:val="24"/>
          <w:szCs w:val="24"/>
        </w:rPr>
        <w:t xml:space="preserve"> </w:t>
      </w:r>
      <w:r w:rsidR="00874E5C">
        <w:rPr>
          <w:rFonts w:ascii="Arial Narrow" w:hAnsi="Arial Narrow"/>
          <w:color w:val="17365D"/>
          <w:sz w:val="24"/>
          <w:szCs w:val="24"/>
        </w:rPr>
        <w:t>giugn</w:t>
      </w:r>
      <w:r w:rsidR="002532A3">
        <w:rPr>
          <w:rFonts w:ascii="Arial Narrow" w:hAnsi="Arial Narrow"/>
          <w:color w:val="17365D"/>
          <w:sz w:val="24"/>
          <w:szCs w:val="24"/>
        </w:rPr>
        <w:t>o</w:t>
      </w:r>
      <w:r w:rsidR="000D4122" w:rsidRPr="00A4252C">
        <w:rPr>
          <w:rFonts w:ascii="Arial Narrow" w:hAnsi="Arial Narrow"/>
          <w:color w:val="17365D"/>
          <w:sz w:val="24"/>
          <w:szCs w:val="24"/>
        </w:rPr>
        <w:t xml:space="preserve"> </w:t>
      </w:r>
      <w:r w:rsidR="004176C3" w:rsidRPr="00A4252C">
        <w:rPr>
          <w:rFonts w:ascii="Arial Narrow" w:hAnsi="Arial Narrow"/>
          <w:color w:val="17365D"/>
          <w:sz w:val="24"/>
          <w:szCs w:val="24"/>
        </w:rPr>
        <w:t>201</w:t>
      </w:r>
      <w:r w:rsidR="00874E5C">
        <w:rPr>
          <w:rFonts w:ascii="Arial Narrow" w:hAnsi="Arial Narrow"/>
          <w:color w:val="17365D"/>
          <w:sz w:val="24"/>
          <w:szCs w:val="24"/>
        </w:rPr>
        <w:t>9</w:t>
      </w:r>
    </w:p>
    <w:p w14:paraId="3E919EC3" w14:textId="77777777" w:rsidR="004176C3" w:rsidRPr="00A4252C" w:rsidRDefault="004176C3" w:rsidP="00093826">
      <w:pPr>
        <w:spacing w:after="0" w:line="480" w:lineRule="exact"/>
        <w:jc w:val="left"/>
        <w:rPr>
          <w:rFonts w:ascii="Arial Narrow" w:hAnsi="Arial Narrow"/>
          <w:b/>
          <w:color w:val="17365D"/>
          <w:sz w:val="44"/>
          <w:szCs w:val="44"/>
        </w:rPr>
      </w:pPr>
    </w:p>
    <w:p w14:paraId="738483EA" w14:textId="77777777" w:rsidR="004176C3" w:rsidRPr="00A51547" w:rsidRDefault="004176C3" w:rsidP="00093826">
      <w:pPr>
        <w:spacing w:after="0" w:line="480" w:lineRule="exact"/>
        <w:jc w:val="left"/>
        <w:rPr>
          <w:rFonts w:ascii="Arial Narrow" w:hAnsi="Arial Narrow"/>
          <w:b/>
          <w:color w:val="17365D"/>
          <w:sz w:val="48"/>
          <w:szCs w:val="48"/>
        </w:rPr>
      </w:pPr>
      <w:r w:rsidRPr="00A51547">
        <w:rPr>
          <w:rFonts w:ascii="Arial Narrow" w:hAnsi="Arial Narrow"/>
          <w:b/>
          <w:color w:val="17365D"/>
          <w:sz w:val="48"/>
          <w:szCs w:val="48"/>
        </w:rPr>
        <w:t xml:space="preserve">Nota trimestrale </w:t>
      </w:r>
      <w:r w:rsidRPr="00A51547">
        <w:rPr>
          <w:rFonts w:ascii="Arial Narrow" w:hAnsi="Arial Narrow"/>
          <w:b/>
          <w:color w:val="17365D"/>
          <w:sz w:val="48"/>
          <w:szCs w:val="48"/>
        </w:rPr>
        <w:br/>
        <w:t>sulle tendenze dell’occupazione</w:t>
      </w:r>
    </w:p>
    <w:p w14:paraId="3DC5A97C" w14:textId="3F9BFA54" w:rsidR="004176C3" w:rsidRPr="00A51547" w:rsidRDefault="004176C3" w:rsidP="00C52037">
      <w:pPr>
        <w:spacing w:after="0"/>
        <w:rPr>
          <w:rFonts w:ascii="Arial Narrow" w:hAnsi="Arial Narrow"/>
          <w:color w:val="595959"/>
          <w:sz w:val="32"/>
          <w:szCs w:val="32"/>
        </w:rPr>
      </w:pPr>
      <w:r w:rsidRPr="00A51547">
        <w:rPr>
          <w:rFonts w:ascii="Arial Narrow" w:hAnsi="Arial Narrow"/>
          <w:color w:val="595959"/>
          <w:sz w:val="32"/>
          <w:szCs w:val="32"/>
        </w:rPr>
        <w:t>I trimestre 201</w:t>
      </w:r>
      <w:r w:rsidR="00B16FBF" w:rsidRPr="00A51547">
        <w:rPr>
          <w:rFonts w:ascii="Arial Narrow" w:hAnsi="Arial Narrow"/>
          <w:color w:val="595959"/>
          <w:sz w:val="32"/>
          <w:szCs w:val="32"/>
        </w:rPr>
        <w:t>9</w:t>
      </w:r>
      <w:r w:rsidR="005709A4">
        <w:rPr>
          <w:rFonts w:ascii="Arial Narrow" w:hAnsi="Arial Narrow"/>
          <w:color w:val="595959"/>
          <w:sz w:val="32"/>
          <w:szCs w:val="32"/>
        </w:rPr>
        <w:t xml:space="preserve"> </w:t>
      </w:r>
    </w:p>
    <w:p w14:paraId="6303CF17" w14:textId="77777777" w:rsidR="004176C3" w:rsidRPr="00A51547" w:rsidRDefault="004176C3" w:rsidP="00C52037">
      <w:pPr>
        <w:spacing w:after="0"/>
        <w:rPr>
          <w:i/>
        </w:rPr>
      </w:pPr>
    </w:p>
    <w:tbl>
      <w:tblPr>
        <w:tblW w:w="0" w:type="auto"/>
        <w:tblInd w:w="108" w:type="dxa"/>
        <w:tblLook w:val="00A0" w:firstRow="1" w:lastRow="0" w:firstColumn="1" w:lastColumn="0" w:noHBand="0" w:noVBand="0"/>
      </w:tblPr>
      <w:tblGrid>
        <w:gridCol w:w="9638"/>
      </w:tblGrid>
      <w:tr w:rsidR="004176C3" w:rsidRPr="00A51547" w14:paraId="271A1F88" w14:textId="77777777" w:rsidTr="00AC2E33">
        <w:tc>
          <w:tcPr>
            <w:tcW w:w="9638" w:type="dxa"/>
            <w:shd w:val="clear" w:color="auto" w:fill="D9D9D9"/>
          </w:tcPr>
          <w:p w14:paraId="5B07081A" w14:textId="77777777" w:rsidR="004176C3" w:rsidRPr="00A51547" w:rsidRDefault="004176C3" w:rsidP="009C5D6F">
            <w:pPr>
              <w:spacing w:after="0"/>
              <w:rPr>
                <w:i/>
                <w:sz w:val="16"/>
                <w:szCs w:val="16"/>
                <w:lang w:eastAsia="it-IT"/>
              </w:rPr>
            </w:pPr>
          </w:p>
          <w:p w14:paraId="37CEAA0F" w14:textId="10A55A2D" w:rsidR="004176C3" w:rsidRPr="00A51547" w:rsidRDefault="004176C3" w:rsidP="00926DBE">
            <w:pPr>
              <w:rPr>
                <w:rFonts w:cs="Arial"/>
                <w:color w:val="17365D"/>
                <w:sz w:val="21"/>
                <w:szCs w:val="21"/>
                <w:lang w:eastAsia="it-IT"/>
              </w:rPr>
            </w:pPr>
            <w:r w:rsidRPr="00A51547">
              <w:rPr>
                <w:rFonts w:cs="Arial"/>
                <w:color w:val="17365D"/>
                <w:sz w:val="21"/>
                <w:szCs w:val="21"/>
                <w:lang w:eastAsia="it-IT"/>
              </w:rPr>
              <w:t>L’Istat, il Ministero del lavoro e delle politiche sociali, l’Inps</w:t>
            </w:r>
            <w:r w:rsidR="00EC0698" w:rsidRPr="00A51547">
              <w:rPr>
                <w:rFonts w:cs="Arial"/>
                <w:color w:val="17365D"/>
                <w:sz w:val="21"/>
                <w:szCs w:val="21"/>
                <w:lang w:eastAsia="it-IT"/>
              </w:rPr>
              <w:t>,</w:t>
            </w:r>
            <w:r w:rsidRPr="00A51547">
              <w:rPr>
                <w:rFonts w:cs="Arial"/>
                <w:color w:val="17365D"/>
                <w:sz w:val="21"/>
                <w:szCs w:val="21"/>
                <w:lang w:eastAsia="it-IT"/>
              </w:rPr>
              <w:t xml:space="preserve"> l’Inail </w:t>
            </w:r>
            <w:r w:rsidR="00EC0698" w:rsidRPr="00A51547">
              <w:rPr>
                <w:rFonts w:cs="Arial"/>
                <w:color w:val="17365D"/>
                <w:sz w:val="21"/>
                <w:szCs w:val="21"/>
                <w:lang w:eastAsia="it-IT"/>
              </w:rPr>
              <w:t xml:space="preserve">e l’Anpal </w:t>
            </w:r>
            <w:r w:rsidRPr="00A51547">
              <w:rPr>
                <w:rFonts w:cs="Arial"/>
                <w:color w:val="17365D"/>
                <w:sz w:val="21"/>
                <w:szCs w:val="21"/>
                <w:lang w:eastAsia="it-IT"/>
              </w:rPr>
              <w:t xml:space="preserve">pubblicano oggi in contemporanea sui rispettivi siti web </w:t>
            </w:r>
            <w:r w:rsidR="00F85473" w:rsidRPr="00A51547">
              <w:rPr>
                <w:rFonts w:cs="Arial"/>
                <w:color w:val="17365D"/>
                <w:sz w:val="21"/>
                <w:szCs w:val="21"/>
                <w:lang w:eastAsia="it-IT"/>
              </w:rPr>
              <w:t xml:space="preserve">la </w:t>
            </w:r>
            <w:r w:rsidRPr="00A51547">
              <w:rPr>
                <w:rFonts w:cs="Arial"/>
                <w:color w:val="17365D"/>
                <w:sz w:val="21"/>
                <w:szCs w:val="21"/>
                <w:lang w:eastAsia="it-IT"/>
              </w:rPr>
              <w:t xml:space="preserve">Nota trimestrale congiunta sulle tendenze dell’occupazione relativa al </w:t>
            </w:r>
            <w:r w:rsidR="00CD52A7" w:rsidRPr="00A51547">
              <w:rPr>
                <w:rFonts w:cs="Arial"/>
                <w:color w:val="17365D"/>
                <w:sz w:val="21"/>
                <w:szCs w:val="21"/>
                <w:lang w:eastAsia="it-IT"/>
              </w:rPr>
              <w:t>primo</w:t>
            </w:r>
            <w:r w:rsidRPr="00A51547">
              <w:rPr>
                <w:rFonts w:cs="Arial"/>
                <w:color w:val="17365D"/>
                <w:sz w:val="21"/>
                <w:szCs w:val="21"/>
                <w:lang w:eastAsia="it-IT"/>
              </w:rPr>
              <w:t xml:space="preserve"> trimestre 201</w:t>
            </w:r>
            <w:r w:rsidR="00CD52A7" w:rsidRPr="00A51547">
              <w:rPr>
                <w:rFonts w:cs="Arial"/>
                <w:color w:val="17365D"/>
                <w:sz w:val="21"/>
                <w:szCs w:val="21"/>
                <w:lang w:eastAsia="it-IT"/>
              </w:rPr>
              <w:t>9</w:t>
            </w:r>
            <w:r w:rsidRPr="00A51547">
              <w:rPr>
                <w:rFonts w:cs="Arial"/>
                <w:color w:val="17365D"/>
                <w:sz w:val="21"/>
                <w:szCs w:val="21"/>
                <w:lang w:eastAsia="it-IT"/>
              </w:rPr>
              <w:t xml:space="preserve">. </w:t>
            </w:r>
          </w:p>
          <w:p w14:paraId="32812C84" w14:textId="1B27FE3A" w:rsidR="00423577" w:rsidRPr="00A51547" w:rsidRDefault="005D16C8" w:rsidP="00CD52A7">
            <w:pPr>
              <w:spacing w:after="0"/>
              <w:rPr>
                <w:rFonts w:cs="Arial"/>
                <w:color w:val="17365D"/>
                <w:sz w:val="21"/>
                <w:szCs w:val="21"/>
                <w:lang w:eastAsia="it-IT"/>
              </w:rPr>
            </w:pPr>
            <w:r w:rsidRPr="00A51547">
              <w:rPr>
                <w:rFonts w:cs="Arial"/>
                <w:color w:val="17365D"/>
                <w:sz w:val="21"/>
                <w:szCs w:val="21"/>
                <w:lang w:eastAsia="it-IT"/>
              </w:rPr>
              <w:t>Come è consuetudine alla Nota vengono allegat</w:t>
            </w:r>
            <w:r w:rsidR="00065E3A" w:rsidRPr="00A51547">
              <w:rPr>
                <w:rFonts w:cs="Arial"/>
                <w:color w:val="17365D"/>
                <w:sz w:val="21"/>
                <w:szCs w:val="21"/>
                <w:lang w:eastAsia="it-IT"/>
              </w:rPr>
              <w:t>e</w:t>
            </w:r>
            <w:r w:rsidRPr="00A51547">
              <w:rPr>
                <w:rFonts w:cs="Arial"/>
                <w:color w:val="17365D"/>
                <w:sz w:val="21"/>
                <w:szCs w:val="21"/>
                <w:lang w:eastAsia="it-IT"/>
              </w:rPr>
              <w:t xml:space="preserve"> in formato </w:t>
            </w:r>
            <w:r w:rsidR="00735830">
              <w:rPr>
                <w:rFonts w:cs="Arial"/>
                <w:color w:val="17365D"/>
                <w:sz w:val="21"/>
                <w:szCs w:val="21"/>
                <w:lang w:eastAsia="it-IT"/>
              </w:rPr>
              <w:t>e</w:t>
            </w:r>
            <w:r w:rsidRPr="00A51547">
              <w:rPr>
                <w:rFonts w:cs="Arial"/>
                <w:color w:val="17365D"/>
                <w:sz w:val="21"/>
                <w:szCs w:val="21"/>
                <w:lang w:eastAsia="it-IT"/>
              </w:rPr>
              <w:t>xcel le serie storiche</w:t>
            </w:r>
            <w:r w:rsidR="00135A32" w:rsidRPr="00A51547">
              <w:rPr>
                <w:rFonts w:cs="Arial"/>
                <w:color w:val="17365D"/>
                <w:sz w:val="21"/>
                <w:szCs w:val="21"/>
                <w:lang w:eastAsia="it-IT"/>
              </w:rPr>
              <w:t xml:space="preserve"> dei seguenti dati</w:t>
            </w:r>
            <w:r w:rsidRPr="00A51547">
              <w:rPr>
                <w:rFonts w:cs="Arial"/>
                <w:color w:val="17365D"/>
                <w:sz w:val="21"/>
                <w:szCs w:val="21"/>
                <w:lang w:eastAsia="it-IT"/>
              </w:rPr>
              <w:t>: i) i flussi di attivazioni, cessazioni e trasformazioni per settore di attività economica e tipologia contrattuale (Comunicazioni obbligatorie, fornite dal Ministero del lavoro e delle politiche sociali, rielaborate); ii) gli stock relativi alle posizioni lavorative dipendenti nelle imprese industriali e dei servizi di fonte Istat provenienti dalla rilevazione su Occupazione, retribuzioni, oneri sociali (Oros).</w:t>
            </w:r>
          </w:p>
          <w:p w14:paraId="653B1825" w14:textId="14A62509" w:rsidR="00FE0B3F" w:rsidRPr="00A51547" w:rsidRDefault="00735830" w:rsidP="00992541">
            <w:pPr>
              <w:spacing w:after="0"/>
              <w:rPr>
                <w:rFonts w:cs="Arial"/>
                <w:color w:val="17365D"/>
                <w:sz w:val="21"/>
                <w:szCs w:val="21"/>
                <w:lang w:eastAsia="it-IT"/>
              </w:rPr>
            </w:pPr>
            <w:r>
              <w:rPr>
                <w:rFonts w:cs="Arial"/>
                <w:color w:val="17365D"/>
                <w:sz w:val="21"/>
                <w:szCs w:val="21"/>
                <w:lang w:eastAsia="it-IT"/>
              </w:rPr>
              <w:t>A partire d</w:t>
            </w:r>
            <w:r w:rsidR="00CD52A7" w:rsidRPr="00A51547">
              <w:rPr>
                <w:rFonts w:cs="Arial"/>
                <w:color w:val="17365D"/>
                <w:sz w:val="21"/>
                <w:szCs w:val="21"/>
                <w:lang w:eastAsia="it-IT"/>
              </w:rPr>
              <w:t xml:space="preserve">a questa Nota </w:t>
            </w:r>
            <w:r w:rsidR="003471D8" w:rsidRPr="000A02E9">
              <w:rPr>
                <w:rFonts w:cs="Arial"/>
                <w:color w:val="17365D"/>
                <w:sz w:val="21"/>
                <w:szCs w:val="21"/>
                <w:lang w:eastAsia="it-IT"/>
              </w:rPr>
              <w:t xml:space="preserve">sono allegate anche </w:t>
            </w:r>
            <w:r w:rsidR="00CD52A7" w:rsidRPr="000A02E9">
              <w:rPr>
                <w:rFonts w:cs="Arial"/>
                <w:color w:val="17365D"/>
                <w:sz w:val="21"/>
                <w:szCs w:val="21"/>
                <w:lang w:eastAsia="it-IT"/>
              </w:rPr>
              <w:t>le serie storiche</w:t>
            </w:r>
            <w:r w:rsidR="003471D8" w:rsidRPr="000A02E9">
              <w:rPr>
                <w:rFonts w:cs="Arial"/>
                <w:color w:val="17365D"/>
                <w:sz w:val="21"/>
                <w:szCs w:val="21"/>
                <w:lang w:eastAsia="it-IT"/>
              </w:rPr>
              <w:t xml:space="preserve"> relative ai flussi di attivazioni, cessazioni e trasformazioni per classe dimensionale d’impresa </w:t>
            </w:r>
            <w:r w:rsidR="007C4C1E" w:rsidRPr="000A02E9">
              <w:rPr>
                <w:rFonts w:cs="Arial"/>
                <w:color w:val="17365D"/>
                <w:sz w:val="21"/>
                <w:szCs w:val="21"/>
                <w:lang w:eastAsia="it-IT"/>
              </w:rPr>
              <w:t xml:space="preserve">e tipologia contrattuale </w:t>
            </w:r>
            <w:r w:rsidR="00992541" w:rsidRPr="000A02E9">
              <w:rPr>
                <w:rFonts w:cs="Arial"/>
                <w:color w:val="17365D"/>
                <w:sz w:val="21"/>
                <w:szCs w:val="21"/>
                <w:lang w:eastAsia="it-IT"/>
              </w:rPr>
              <w:t xml:space="preserve">derivanti </w:t>
            </w:r>
            <w:bookmarkStart w:id="0" w:name="_GoBack"/>
            <w:bookmarkEnd w:id="0"/>
            <w:r w:rsidR="003471D8" w:rsidRPr="000A02E9">
              <w:rPr>
                <w:rFonts w:cs="Arial"/>
                <w:color w:val="17365D"/>
                <w:sz w:val="21"/>
                <w:szCs w:val="21"/>
                <w:lang w:eastAsia="it-IT"/>
              </w:rPr>
              <w:t>dai dati Inps</w:t>
            </w:r>
            <w:r w:rsidR="007C4C1E" w:rsidRPr="000A02E9">
              <w:rPr>
                <w:rFonts w:cs="Arial"/>
                <w:color w:val="17365D"/>
                <w:sz w:val="21"/>
                <w:szCs w:val="21"/>
                <w:lang w:eastAsia="it-IT"/>
              </w:rPr>
              <w:t>-Uniemens</w:t>
            </w:r>
            <w:r w:rsidR="00CD52A7" w:rsidRPr="000A02E9">
              <w:rPr>
                <w:rFonts w:cs="Arial"/>
                <w:color w:val="17365D"/>
                <w:sz w:val="21"/>
                <w:szCs w:val="21"/>
                <w:lang w:eastAsia="it-IT"/>
              </w:rPr>
              <w:t>.</w:t>
            </w:r>
            <w:r w:rsidR="003471D8" w:rsidRPr="000A02E9">
              <w:rPr>
                <w:rFonts w:cs="Arial"/>
                <w:color w:val="17365D"/>
                <w:sz w:val="21"/>
                <w:szCs w:val="21"/>
                <w:lang w:eastAsia="it-IT"/>
              </w:rPr>
              <w:t xml:space="preserve"> Inoltre </w:t>
            </w:r>
            <w:r w:rsidR="00FE0B3F" w:rsidRPr="000A02E9">
              <w:rPr>
                <w:rFonts w:cs="Arial"/>
                <w:color w:val="17365D"/>
                <w:sz w:val="21"/>
                <w:szCs w:val="21"/>
                <w:lang w:eastAsia="it-IT"/>
              </w:rPr>
              <w:t>riprende la pubblicazione dei dati Inail sul numero delle denunce in complesso, comprensivi delle comunicazioni</w:t>
            </w:r>
            <w:r w:rsidR="00FE0B3F" w:rsidRPr="00A51547">
              <w:rPr>
                <w:rFonts w:cs="Arial"/>
                <w:color w:val="17365D"/>
                <w:sz w:val="21"/>
                <w:szCs w:val="21"/>
                <w:lang w:eastAsia="it-IT"/>
              </w:rPr>
              <w:t xml:space="preserve"> obbligatorie di infortunio (assenza dal lavoro di almeno un giorno, escluso quello dell’evento).</w:t>
            </w:r>
          </w:p>
        </w:tc>
      </w:tr>
    </w:tbl>
    <w:p w14:paraId="2FBF367A" w14:textId="77777777" w:rsidR="00B70CA5" w:rsidRPr="00A51547" w:rsidRDefault="00B70CA5" w:rsidP="00B70CA5">
      <w:pPr>
        <w:pStyle w:val="Default"/>
        <w:spacing w:after="120"/>
        <w:ind w:right="284"/>
        <w:rPr>
          <w:b/>
          <w:color w:val="17365D"/>
          <w:sz w:val="18"/>
          <w:szCs w:val="18"/>
        </w:rPr>
      </w:pPr>
    </w:p>
    <w:p w14:paraId="303860F3" w14:textId="77777777" w:rsidR="004176C3" w:rsidRPr="00A51547" w:rsidRDefault="004176C3" w:rsidP="00B70CA5">
      <w:pPr>
        <w:pStyle w:val="Default"/>
        <w:spacing w:after="120"/>
        <w:ind w:right="284"/>
        <w:rPr>
          <w:b/>
          <w:color w:val="17365D"/>
          <w:sz w:val="22"/>
          <w:szCs w:val="22"/>
        </w:rPr>
      </w:pPr>
      <w:r w:rsidRPr="00A51547">
        <w:rPr>
          <w:b/>
          <w:color w:val="17365D"/>
          <w:sz w:val="22"/>
          <w:szCs w:val="22"/>
        </w:rPr>
        <w:t>QUADRO D’INSIEME</w:t>
      </w:r>
    </w:p>
    <w:p w14:paraId="7DEC1B1F" w14:textId="4B5334F7" w:rsidR="00306268" w:rsidRPr="00A51547" w:rsidRDefault="00E64079" w:rsidP="00513702">
      <w:pPr>
        <w:tabs>
          <w:tab w:val="left" w:pos="9356"/>
        </w:tabs>
        <w:rPr>
          <w:rFonts w:cs="Arial"/>
          <w:szCs w:val="20"/>
        </w:rPr>
      </w:pPr>
      <w:r w:rsidRPr="00A51547">
        <w:rPr>
          <w:rFonts w:cs="Arial"/>
          <w:szCs w:val="20"/>
        </w:rPr>
        <w:t xml:space="preserve">Nel </w:t>
      </w:r>
      <w:r w:rsidR="0076116F" w:rsidRPr="00A51547">
        <w:rPr>
          <w:rFonts w:cs="Arial"/>
          <w:b/>
          <w:szCs w:val="20"/>
        </w:rPr>
        <w:t>primo</w:t>
      </w:r>
      <w:r w:rsidR="00ED23A7" w:rsidRPr="00A51547">
        <w:rPr>
          <w:rFonts w:cs="Arial"/>
          <w:szCs w:val="20"/>
        </w:rPr>
        <w:t xml:space="preserve"> </w:t>
      </w:r>
      <w:r w:rsidRPr="00A51547">
        <w:rPr>
          <w:rFonts w:cs="Arial"/>
          <w:b/>
          <w:szCs w:val="20"/>
        </w:rPr>
        <w:t>trimestre 201</w:t>
      </w:r>
      <w:r w:rsidR="0076116F" w:rsidRPr="00A51547">
        <w:rPr>
          <w:rFonts w:cs="Arial"/>
          <w:b/>
          <w:szCs w:val="20"/>
        </w:rPr>
        <w:t>9</w:t>
      </w:r>
      <w:r w:rsidRPr="00A51547">
        <w:rPr>
          <w:rFonts w:cs="Arial"/>
          <w:szCs w:val="20"/>
        </w:rPr>
        <w:t xml:space="preserve"> si osserva un</w:t>
      </w:r>
      <w:r w:rsidR="004714AA">
        <w:rPr>
          <w:rFonts w:cs="Arial"/>
          <w:szCs w:val="20"/>
        </w:rPr>
        <w:t xml:space="preserve"> contenuto </w:t>
      </w:r>
      <w:r w:rsidR="0076116F" w:rsidRPr="00A51547">
        <w:rPr>
          <w:rFonts w:cs="Arial"/>
          <w:b/>
          <w:szCs w:val="20"/>
        </w:rPr>
        <w:t>aumento</w:t>
      </w:r>
      <w:r w:rsidRPr="00A51547">
        <w:rPr>
          <w:rFonts w:cs="Arial"/>
          <w:b/>
          <w:szCs w:val="20"/>
        </w:rPr>
        <w:t xml:space="preserve"> </w:t>
      </w:r>
      <w:r w:rsidRPr="00F1798B">
        <w:rPr>
          <w:rFonts w:cs="Arial"/>
          <w:b/>
          <w:szCs w:val="20"/>
        </w:rPr>
        <w:t>dell’occupazione</w:t>
      </w:r>
      <w:r w:rsidRPr="00A51547">
        <w:rPr>
          <w:rFonts w:cs="Arial"/>
          <w:b/>
          <w:szCs w:val="20"/>
        </w:rPr>
        <w:t xml:space="preserve"> </w:t>
      </w:r>
      <w:r w:rsidR="004714AA">
        <w:rPr>
          <w:rFonts w:cs="Arial"/>
          <w:b/>
          <w:szCs w:val="20"/>
        </w:rPr>
        <w:t xml:space="preserve">sia </w:t>
      </w:r>
      <w:r w:rsidRPr="00A51547">
        <w:rPr>
          <w:rFonts w:cs="Arial"/>
          <w:b/>
          <w:szCs w:val="20"/>
        </w:rPr>
        <w:t xml:space="preserve">rispetto al </w:t>
      </w:r>
      <w:r w:rsidR="0076116F" w:rsidRPr="00A51547">
        <w:rPr>
          <w:rFonts w:cs="Arial"/>
          <w:b/>
          <w:szCs w:val="20"/>
        </w:rPr>
        <w:t>quarto</w:t>
      </w:r>
      <w:r w:rsidR="00ED23A7" w:rsidRPr="00A51547">
        <w:rPr>
          <w:rFonts w:cs="Arial"/>
          <w:b/>
          <w:szCs w:val="20"/>
        </w:rPr>
        <w:t xml:space="preserve"> </w:t>
      </w:r>
      <w:r w:rsidRPr="00A51547">
        <w:rPr>
          <w:rFonts w:cs="Arial"/>
          <w:b/>
          <w:szCs w:val="20"/>
        </w:rPr>
        <w:t>trimestre</w:t>
      </w:r>
      <w:r w:rsidR="0076116F" w:rsidRPr="00A51547">
        <w:rPr>
          <w:rFonts w:cs="Arial"/>
          <w:b/>
          <w:szCs w:val="20"/>
        </w:rPr>
        <w:t xml:space="preserve"> 2018</w:t>
      </w:r>
      <w:r w:rsidR="00A11063" w:rsidRPr="00A51547">
        <w:rPr>
          <w:rFonts w:cs="Arial"/>
          <w:b/>
          <w:szCs w:val="20"/>
        </w:rPr>
        <w:t xml:space="preserve"> </w:t>
      </w:r>
      <w:r w:rsidR="004714AA">
        <w:rPr>
          <w:rFonts w:cs="Arial"/>
          <w:b/>
          <w:szCs w:val="20"/>
        </w:rPr>
        <w:t>sia su</w:t>
      </w:r>
      <w:r w:rsidR="00A11063" w:rsidRPr="00A51547">
        <w:rPr>
          <w:rFonts w:cs="Arial"/>
          <w:b/>
          <w:szCs w:val="20"/>
        </w:rPr>
        <w:t xml:space="preserve"> base annua</w:t>
      </w:r>
      <w:r w:rsidRPr="00A51547">
        <w:rPr>
          <w:rFonts w:cs="Arial"/>
          <w:b/>
          <w:szCs w:val="20"/>
        </w:rPr>
        <w:t xml:space="preserve"> </w:t>
      </w:r>
      <w:r w:rsidRPr="00A51547">
        <w:rPr>
          <w:rFonts w:cs="Arial"/>
          <w:szCs w:val="20"/>
        </w:rPr>
        <w:t xml:space="preserve">(Tavola 1). </w:t>
      </w:r>
      <w:r w:rsidR="00820E71">
        <w:rPr>
          <w:rFonts w:cs="Arial"/>
          <w:szCs w:val="20"/>
        </w:rPr>
        <w:t>Queste</w:t>
      </w:r>
      <w:r w:rsidR="00820E71" w:rsidRPr="00A51547">
        <w:rPr>
          <w:rFonts w:cs="Arial"/>
          <w:szCs w:val="20"/>
        </w:rPr>
        <w:t xml:space="preserve"> </w:t>
      </w:r>
      <w:r w:rsidR="00513702" w:rsidRPr="00A51547">
        <w:rPr>
          <w:rFonts w:cs="Arial"/>
          <w:szCs w:val="20"/>
        </w:rPr>
        <w:t xml:space="preserve">dinamiche si sono sviluppate in un contesto di lieve </w:t>
      </w:r>
      <w:r w:rsidR="00A11063" w:rsidRPr="00A51547">
        <w:rPr>
          <w:rFonts w:cs="Arial"/>
          <w:szCs w:val="20"/>
        </w:rPr>
        <w:t>aumento</w:t>
      </w:r>
      <w:r w:rsidR="004714AA">
        <w:rPr>
          <w:rFonts w:cs="Arial"/>
          <w:szCs w:val="20"/>
        </w:rPr>
        <w:t xml:space="preserve"> congiunturale</w:t>
      </w:r>
      <w:r w:rsidR="00513702" w:rsidRPr="00A51547">
        <w:rPr>
          <w:rFonts w:cs="Arial"/>
          <w:szCs w:val="20"/>
        </w:rPr>
        <w:t xml:space="preserve"> del Pil (+0,1%</w:t>
      </w:r>
      <w:r w:rsidR="004714AA">
        <w:rPr>
          <w:rFonts w:cs="Arial"/>
          <w:szCs w:val="20"/>
        </w:rPr>
        <w:t>)</w:t>
      </w:r>
      <w:r w:rsidR="00513702" w:rsidRPr="00A51547">
        <w:rPr>
          <w:rFonts w:cs="Arial"/>
          <w:szCs w:val="20"/>
        </w:rPr>
        <w:t xml:space="preserve"> dopo due trimestri di le</w:t>
      </w:r>
      <w:r w:rsidR="00A6669D" w:rsidRPr="00A51547">
        <w:rPr>
          <w:rFonts w:cs="Arial"/>
          <w:szCs w:val="20"/>
        </w:rPr>
        <w:t>ggero</w:t>
      </w:r>
      <w:r w:rsidR="00513702" w:rsidRPr="00A51547">
        <w:rPr>
          <w:rFonts w:cs="Arial"/>
          <w:szCs w:val="20"/>
        </w:rPr>
        <w:t xml:space="preserve"> calo (-0,1%); l’input di lavoro misurato in termini di Ula (Unità di lavoro equivalenti a tempo pieno) registra una dinamica</w:t>
      </w:r>
      <w:r w:rsidR="004714AA">
        <w:rPr>
          <w:rFonts w:cs="Arial"/>
          <w:szCs w:val="20"/>
        </w:rPr>
        <w:t xml:space="preserve"> significativamente</w:t>
      </w:r>
      <w:r w:rsidR="00513702" w:rsidRPr="00A51547">
        <w:rPr>
          <w:rFonts w:cs="Arial"/>
          <w:szCs w:val="20"/>
        </w:rPr>
        <w:t xml:space="preserve"> più accelerata rispetto a quella del Pil (+0,4 sotto il profilo congiunturale e +1,1% in termini tendenziali). </w:t>
      </w:r>
      <w:r w:rsidR="004176C3" w:rsidRPr="00A51547">
        <w:rPr>
          <w:rFonts w:cs="Arial"/>
          <w:szCs w:val="20"/>
        </w:rPr>
        <w:t xml:space="preserve">Il tasso di occupazione destagionalizzato </w:t>
      </w:r>
      <w:r w:rsidR="0076116F" w:rsidRPr="00A51547">
        <w:rPr>
          <w:rFonts w:cs="Arial"/>
          <w:szCs w:val="20"/>
        </w:rPr>
        <w:t>si porta</w:t>
      </w:r>
      <w:r w:rsidR="004176C3" w:rsidRPr="00A51547">
        <w:rPr>
          <w:rFonts w:cs="Arial"/>
          <w:szCs w:val="20"/>
        </w:rPr>
        <w:t xml:space="preserve"> al 5</w:t>
      </w:r>
      <w:r w:rsidR="001F0D66" w:rsidRPr="00A51547">
        <w:rPr>
          <w:rFonts w:cs="Arial"/>
          <w:szCs w:val="20"/>
        </w:rPr>
        <w:t>8</w:t>
      </w:r>
      <w:r w:rsidR="004176C3" w:rsidRPr="00A51547">
        <w:rPr>
          <w:rFonts w:cs="Arial"/>
          <w:szCs w:val="20"/>
        </w:rPr>
        <w:t>,</w:t>
      </w:r>
      <w:r w:rsidR="0076116F" w:rsidRPr="00A51547">
        <w:rPr>
          <w:rFonts w:cs="Arial"/>
          <w:szCs w:val="20"/>
        </w:rPr>
        <w:t>7</w:t>
      </w:r>
      <w:r w:rsidR="004176C3" w:rsidRPr="00A51547">
        <w:rPr>
          <w:rFonts w:cs="Arial"/>
          <w:szCs w:val="20"/>
        </w:rPr>
        <w:t xml:space="preserve">% </w:t>
      </w:r>
      <w:r w:rsidR="0076116F" w:rsidRPr="00A51547">
        <w:rPr>
          <w:rFonts w:cs="Arial"/>
          <w:szCs w:val="20"/>
        </w:rPr>
        <w:t>(</w:t>
      </w:r>
      <w:r w:rsidR="00902948" w:rsidRPr="00A51547">
        <w:rPr>
          <w:rFonts w:cs="Arial"/>
          <w:szCs w:val="20"/>
        </w:rPr>
        <w:t>+</w:t>
      </w:r>
      <w:r w:rsidR="0076116F" w:rsidRPr="00A51547">
        <w:rPr>
          <w:rFonts w:cs="Arial"/>
          <w:szCs w:val="20"/>
        </w:rPr>
        <w:t xml:space="preserve">0,1 punti in </w:t>
      </w:r>
      <w:r w:rsidR="00BE3CEF" w:rsidRPr="00A51547">
        <w:rPr>
          <w:rFonts w:cs="Arial"/>
          <w:szCs w:val="20"/>
        </w:rPr>
        <w:t>confronto</w:t>
      </w:r>
      <w:r w:rsidR="004176C3" w:rsidRPr="00A51547">
        <w:rPr>
          <w:rFonts w:cs="Arial"/>
          <w:szCs w:val="20"/>
        </w:rPr>
        <w:t xml:space="preserve"> al trimestre precedente</w:t>
      </w:r>
      <w:r w:rsidR="0076116F" w:rsidRPr="00A51547">
        <w:rPr>
          <w:rFonts w:cs="Arial"/>
          <w:szCs w:val="20"/>
        </w:rPr>
        <w:t>)</w:t>
      </w:r>
      <w:r w:rsidR="003C4F35" w:rsidRPr="00A51547">
        <w:rPr>
          <w:rFonts w:cs="Arial"/>
          <w:szCs w:val="20"/>
        </w:rPr>
        <w:t xml:space="preserve"> </w:t>
      </w:r>
      <w:r w:rsidR="00F341E4">
        <w:rPr>
          <w:rFonts w:cs="Arial"/>
          <w:szCs w:val="20"/>
        </w:rPr>
        <w:t>come</w:t>
      </w:r>
      <w:r w:rsidR="00237BDD" w:rsidRPr="00A51547">
        <w:rPr>
          <w:rFonts w:cs="Arial"/>
          <w:szCs w:val="20"/>
        </w:rPr>
        <w:t xml:space="preserve"> sintesi </w:t>
      </w:r>
      <w:r w:rsidR="0076116F" w:rsidRPr="00A51547">
        <w:rPr>
          <w:rFonts w:cs="Arial"/>
          <w:szCs w:val="20"/>
        </w:rPr>
        <w:t>dell’</w:t>
      </w:r>
      <w:r w:rsidR="00237BDD" w:rsidRPr="00A51547">
        <w:rPr>
          <w:rFonts w:cs="Arial"/>
          <w:szCs w:val="20"/>
        </w:rPr>
        <w:t xml:space="preserve">aumento </w:t>
      </w:r>
      <w:r w:rsidR="00F341E4">
        <w:rPr>
          <w:rFonts w:cs="Arial"/>
          <w:szCs w:val="20"/>
        </w:rPr>
        <w:t>di quello femminile</w:t>
      </w:r>
      <w:r w:rsidR="0095143C" w:rsidRPr="00A51547">
        <w:rPr>
          <w:rFonts w:cs="Arial"/>
          <w:szCs w:val="20"/>
        </w:rPr>
        <w:t xml:space="preserve"> </w:t>
      </w:r>
      <w:r w:rsidR="00237BDD" w:rsidRPr="00A51547">
        <w:rPr>
          <w:rFonts w:cs="Arial"/>
          <w:szCs w:val="20"/>
        </w:rPr>
        <w:t xml:space="preserve">e </w:t>
      </w:r>
      <w:r w:rsidR="00902948" w:rsidRPr="00A51547">
        <w:rPr>
          <w:rFonts w:cs="Arial"/>
          <w:szCs w:val="20"/>
        </w:rPr>
        <w:t>della stabilità</w:t>
      </w:r>
      <w:r w:rsidR="00237BDD" w:rsidRPr="00A51547">
        <w:rPr>
          <w:rFonts w:cs="Arial"/>
          <w:szCs w:val="20"/>
        </w:rPr>
        <w:t xml:space="preserve"> </w:t>
      </w:r>
      <w:r w:rsidR="00F341E4">
        <w:rPr>
          <w:rFonts w:cs="Arial"/>
          <w:szCs w:val="20"/>
        </w:rPr>
        <w:t>di quello maschile</w:t>
      </w:r>
      <w:r w:rsidR="0076116F" w:rsidRPr="00A51547">
        <w:rPr>
          <w:rFonts w:cs="Arial"/>
          <w:szCs w:val="20"/>
        </w:rPr>
        <w:t xml:space="preserve"> (Tavola </w:t>
      </w:r>
      <w:r w:rsidR="003C0DC8" w:rsidRPr="00A51547">
        <w:rPr>
          <w:rFonts w:cs="Arial"/>
          <w:szCs w:val="20"/>
        </w:rPr>
        <w:t>3</w:t>
      </w:r>
      <w:r w:rsidR="0076116F" w:rsidRPr="00A51547">
        <w:rPr>
          <w:rFonts w:cs="Arial"/>
          <w:szCs w:val="20"/>
        </w:rPr>
        <w:t>)</w:t>
      </w:r>
      <w:r w:rsidR="00FC5899" w:rsidRPr="00A51547">
        <w:rPr>
          <w:rFonts w:cs="Arial"/>
          <w:szCs w:val="20"/>
        </w:rPr>
        <w:t>. L</w:t>
      </w:r>
      <w:r w:rsidR="003C4F35" w:rsidRPr="00A51547">
        <w:rPr>
          <w:rFonts w:cs="Arial"/>
          <w:szCs w:val="20"/>
        </w:rPr>
        <w:t>’indicatore</w:t>
      </w:r>
      <w:r w:rsidR="00306268" w:rsidRPr="00A51547">
        <w:rPr>
          <w:rFonts w:cs="Arial"/>
          <w:szCs w:val="20"/>
        </w:rPr>
        <w:t xml:space="preserve"> </w:t>
      </w:r>
      <w:r w:rsidR="009F65AA" w:rsidRPr="00A51547">
        <w:rPr>
          <w:rFonts w:cs="Arial"/>
          <w:szCs w:val="20"/>
        </w:rPr>
        <w:t>supera</w:t>
      </w:r>
      <w:r w:rsidR="00193AFB" w:rsidRPr="00A51547">
        <w:rPr>
          <w:rFonts w:cs="Arial"/>
          <w:szCs w:val="20"/>
        </w:rPr>
        <w:t xml:space="preserve"> </w:t>
      </w:r>
      <w:r w:rsidR="00306268" w:rsidRPr="00A51547">
        <w:rPr>
          <w:rFonts w:cs="Arial"/>
          <w:szCs w:val="20"/>
        </w:rPr>
        <w:t xml:space="preserve">di </w:t>
      </w:r>
      <w:r w:rsidR="003C4F35" w:rsidRPr="00A51547">
        <w:rPr>
          <w:rFonts w:cs="Arial"/>
          <w:szCs w:val="20"/>
        </w:rPr>
        <w:t>oltre</w:t>
      </w:r>
      <w:r w:rsidR="00306268" w:rsidRPr="00A51547">
        <w:rPr>
          <w:rFonts w:cs="Arial"/>
          <w:szCs w:val="20"/>
        </w:rPr>
        <w:t xml:space="preserve"> </w:t>
      </w:r>
      <w:r w:rsidR="00116106" w:rsidRPr="00A51547">
        <w:rPr>
          <w:rFonts w:cs="Arial"/>
          <w:szCs w:val="20"/>
        </w:rPr>
        <w:t>tre</w:t>
      </w:r>
      <w:r w:rsidR="00306268" w:rsidRPr="00A51547">
        <w:rPr>
          <w:rFonts w:cs="Arial"/>
          <w:szCs w:val="20"/>
        </w:rPr>
        <w:t xml:space="preserve"> punti </w:t>
      </w:r>
      <w:r w:rsidR="009F65AA" w:rsidRPr="00A51547">
        <w:rPr>
          <w:rFonts w:cs="Arial"/>
          <w:szCs w:val="20"/>
        </w:rPr>
        <w:t>il</w:t>
      </w:r>
      <w:r w:rsidR="00306268" w:rsidRPr="00A51547">
        <w:rPr>
          <w:rFonts w:cs="Arial"/>
          <w:szCs w:val="20"/>
        </w:rPr>
        <w:t xml:space="preserve"> valore minimo </w:t>
      </w:r>
      <w:r w:rsidR="00E27A93" w:rsidRPr="00A51547">
        <w:rPr>
          <w:rFonts w:cs="Arial"/>
          <w:szCs w:val="20"/>
        </w:rPr>
        <w:t xml:space="preserve">del </w:t>
      </w:r>
      <w:r w:rsidR="00306268" w:rsidRPr="00A51547">
        <w:rPr>
          <w:rFonts w:cs="Arial"/>
          <w:szCs w:val="20"/>
        </w:rPr>
        <w:t>terzo trimestre 2013</w:t>
      </w:r>
      <w:r w:rsidR="001B075D" w:rsidRPr="00A51547">
        <w:rPr>
          <w:rFonts w:cs="Arial"/>
          <w:szCs w:val="20"/>
        </w:rPr>
        <w:t xml:space="preserve"> (55,4%)</w:t>
      </w:r>
      <w:r w:rsidR="00306268" w:rsidRPr="00A51547">
        <w:rPr>
          <w:rFonts w:cs="Arial"/>
          <w:szCs w:val="20"/>
        </w:rPr>
        <w:t xml:space="preserve"> </w:t>
      </w:r>
      <w:r w:rsidR="00AC07B4" w:rsidRPr="00A51547">
        <w:rPr>
          <w:rFonts w:cs="Arial"/>
          <w:szCs w:val="20"/>
        </w:rPr>
        <w:t xml:space="preserve">tornando ai </w:t>
      </w:r>
      <w:r w:rsidR="00817B6D" w:rsidRPr="00A51547">
        <w:rPr>
          <w:rFonts w:cs="Arial"/>
          <w:szCs w:val="20"/>
        </w:rPr>
        <w:t xml:space="preserve">livelli </w:t>
      </w:r>
      <w:r w:rsidR="00AC07B4" w:rsidRPr="00A51547">
        <w:rPr>
          <w:rFonts w:cs="Arial"/>
          <w:szCs w:val="20"/>
        </w:rPr>
        <w:t>pre-crisi e sfiorando</w:t>
      </w:r>
      <w:r w:rsidR="003C4F35" w:rsidRPr="00A51547">
        <w:rPr>
          <w:rFonts w:cs="Arial"/>
          <w:szCs w:val="20"/>
        </w:rPr>
        <w:t xml:space="preserve"> il</w:t>
      </w:r>
      <w:r w:rsidR="00306268" w:rsidRPr="00A51547">
        <w:rPr>
          <w:rFonts w:cs="Arial"/>
          <w:szCs w:val="20"/>
        </w:rPr>
        <w:t xml:space="preserve"> livell</w:t>
      </w:r>
      <w:r w:rsidR="003C4F35" w:rsidRPr="00A51547">
        <w:rPr>
          <w:rFonts w:cs="Arial"/>
          <w:szCs w:val="20"/>
        </w:rPr>
        <w:t>o</w:t>
      </w:r>
      <w:r w:rsidR="00306268" w:rsidRPr="00A51547">
        <w:rPr>
          <w:rFonts w:cs="Arial"/>
          <w:szCs w:val="20"/>
        </w:rPr>
        <w:t xml:space="preserve"> massim</w:t>
      </w:r>
      <w:r w:rsidR="003C4F35" w:rsidRPr="00A51547">
        <w:rPr>
          <w:rFonts w:cs="Arial"/>
          <w:szCs w:val="20"/>
        </w:rPr>
        <w:t>o</w:t>
      </w:r>
      <w:r w:rsidR="00306268" w:rsidRPr="00A51547">
        <w:rPr>
          <w:rFonts w:cs="Arial"/>
          <w:szCs w:val="20"/>
        </w:rPr>
        <w:t xml:space="preserve"> </w:t>
      </w:r>
      <w:r w:rsidR="00AC07B4" w:rsidRPr="00A51547">
        <w:rPr>
          <w:rFonts w:cs="Arial"/>
          <w:szCs w:val="20"/>
        </w:rPr>
        <w:t xml:space="preserve">del secondo </w:t>
      </w:r>
      <w:r w:rsidR="00AC07B4" w:rsidRPr="00A51547">
        <w:rPr>
          <w:szCs w:val="20"/>
        </w:rPr>
        <w:t>trimestre</w:t>
      </w:r>
      <w:r w:rsidR="00AC07B4" w:rsidRPr="00A51547">
        <w:rPr>
          <w:rFonts w:cs="Arial"/>
          <w:szCs w:val="20"/>
        </w:rPr>
        <w:t xml:space="preserve"> del 2008 </w:t>
      </w:r>
      <w:r w:rsidR="00306268" w:rsidRPr="00A51547">
        <w:rPr>
          <w:rFonts w:cs="Arial"/>
          <w:szCs w:val="20"/>
        </w:rPr>
        <w:t xml:space="preserve">(58,8%). </w:t>
      </w:r>
    </w:p>
    <w:p w14:paraId="65D97416" w14:textId="10965FA4" w:rsidR="004176C3" w:rsidRPr="00A51547" w:rsidRDefault="004176C3" w:rsidP="00B70CA5">
      <w:pPr>
        <w:tabs>
          <w:tab w:val="left" w:pos="9356"/>
        </w:tabs>
        <w:rPr>
          <w:rFonts w:cs="Arial"/>
          <w:szCs w:val="20"/>
        </w:rPr>
      </w:pPr>
      <w:r w:rsidRPr="00A51547">
        <w:rPr>
          <w:rFonts w:cs="Arial"/>
          <w:szCs w:val="20"/>
        </w:rPr>
        <w:t>In questo contesto, l’insieme dei dati provenienti da</w:t>
      </w:r>
      <w:r w:rsidR="00787F5C" w:rsidRPr="00A51547">
        <w:rPr>
          <w:rFonts w:cs="Arial"/>
          <w:szCs w:val="20"/>
        </w:rPr>
        <w:t xml:space="preserve">lle diverse </w:t>
      </w:r>
      <w:r w:rsidR="00143392" w:rsidRPr="00A51547">
        <w:rPr>
          <w:rFonts w:cs="Arial"/>
          <w:szCs w:val="20"/>
        </w:rPr>
        <w:t xml:space="preserve">fonti </w:t>
      </w:r>
      <w:r w:rsidR="00E138DD" w:rsidRPr="00A51547">
        <w:rPr>
          <w:rFonts w:cs="Arial"/>
          <w:szCs w:val="20"/>
        </w:rPr>
        <w:t>consente di</w:t>
      </w:r>
      <w:r w:rsidR="00CF5831" w:rsidRPr="00A51547">
        <w:rPr>
          <w:rFonts w:cs="Arial"/>
          <w:szCs w:val="20"/>
        </w:rPr>
        <w:t xml:space="preserve"> </w:t>
      </w:r>
      <w:r w:rsidR="00E138DD" w:rsidRPr="00A51547">
        <w:rPr>
          <w:rFonts w:cs="Arial"/>
          <w:szCs w:val="20"/>
        </w:rPr>
        <w:t xml:space="preserve">evidenziare i </w:t>
      </w:r>
      <w:r w:rsidR="00CF5831" w:rsidRPr="00A51547">
        <w:rPr>
          <w:rFonts w:cs="Arial"/>
          <w:szCs w:val="20"/>
        </w:rPr>
        <w:t xml:space="preserve">seguenti </w:t>
      </w:r>
      <w:r w:rsidRPr="00A51547">
        <w:rPr>
          <w:rFonts w:cs="Arial"/>
          <w:szCs w:val="20"/>
        </w:rPr>
        <w:t>aspetti:</w:t>
      </w:r>
    </w:p>
    <w:p w14:paraId="68FB8798" w14:textId="5ABB56AF" w:rsidR="004176C3" w:rsidRPr="00A51547" w:rsidRDefault="00E94C3D" w:rsidP="00436A6C">
      <w:pPr>
        <w:pStyle w:val="elenco"/>
        <w:tabs>
          <w:tab w:val="clear" w:pos="720"/>
          <w:tab w:val="num" w:pos="426"/>
        </w:tabs>
        <w:ind w:left="426" w:hanging="426"/>
      </w:pPr>
      <w:r w:rsidRPr="00A51547">
        <w:rPr>
          <w:b/>
        </w:rPr>
        <w:t xml:space="preserve">Prosegue </w:t>
      </w:r>
      <w:r w:rsidR="004C7AE7" w:rsidRPr="00A51547">
        <w:rPr>
          <w:b/>
        </w:rPr>
        <w:t>la</w:t>
      </w:r>
      <w:r w:rsidR="004176C3" w:rsidRPr="00A51547">
        <w:rPr>
          <w:b/>
        </w:rPr>
        <w:t xml:space="preserve"> crescita tendenziale dell’occupazione</w:t>
      </w:r>
      <w:r w:rsidR="004176C3" w:rsidRPr="00A51547">
        <w:t xml:space="preserve"> </w:t>
      </w:r>
      <w:r w:rsidR="004176C3" w:rsidRPr="00A51547">
        <w:rPr>
          <w:b/>
        </w:rPr>
        <w:t xml:space="preserve">dipendente </w:t>
      </w:r>
      <w:r w:rsidR="004C7AE7" w:rsidRPr="00A51547">
        <w:t>in termini</w:t>
      </w:r>
      <w:r w:rsidR="004C7AE7" w:rsidRPr="00A51547">
        <w:rPr>
          <w:b/>
        </w:rPr>
        <w:t xml:space="preserve"> </w:t>
      </w:r>
      <w:r w:rsidR="004176C3" w:rsidRPr="00A51547">
        <w:t>sia di occupati (+</w:t>
      </w:r>
      <w:r w:rsidRPr="00A51547">
        <w:t>0</w:t>
      </w:r>
      <w:r w:rsidR="004176C3" w:rsidRPr="00A51547">
        <w:t>,</w:t>
      </w:r>
      <w:r w:rsidR="00533071" w:rsidRPr="00A51547">
        <w:t>5</w:t>
      </w:r>
      <w:r w:rsidR="004176C3" w:rsidRPr="00A51547">
        <w:t>%, Istat</w:t>
      </w:r>
      <w:r w:rsidR="00311F68" w:rsidRPr="00A51547">
        <w:t>, Rilevazione sulle forze di lavoro</w:t>
      </w:r>
      <w:r w:rsidR="004176C3" w:rsidRPr="00A51547">
        <w:t>) sia di posizioni lavorative riferite ai settori dell’industria e dei servizi (+</w:t>
      </w:r>
      <w:r w:rsidR="00AD108B" w:rsidRPr="00A51547">
        <w:t>1</w:t>
      </w:r>
      <w:r w:rsidR="004176C3" w:rsidRPr="00A51547">
        <w:t>,</w:t>
      </w:r>
      <w:r w:rsidR="007F072B" w:rsidRPr="00A51547">
        <w:t>7</w:t>
      </w:r>
      <w:r w:rsidR="004176C3" w:rsidRPr="00A51547">
        <w:t>%, Istat</w:t>
      </w:r>
      <w:r w:rsidR="00311F68" w:rsidRPr="00A51547">
        <w:t>, Rilevazione Oros</w:t>
      </w:r>
      <w:r w:rsidR="004176C3" w:rsidRPr="00A51547">
        <w:t xml:space="preserve">). </w:t>
      </w:r>
      <w:r w:rsidR="007160E2" w:rsidRPr="00A51547">
        <w:t xml:space="preserve">Lo stesso andamento si riscontra nei </w:t>
      </w:r>
      <w:r w:rsidR="004176C3" w:rsidRPr="00A51547">
        <w:t xml:space="preserve">dati del Ministero del </w:t>
      </w:r>
      <w:r w:rsidR="00260AFC" w:rsidRPr="00A51547">
        <w:t>l</w:t>
      </w:r>
      <w:r w:rsidR="004176C3" w:rsidRPr="00A51547">
        <w:t xml:space="preserve">avoro e delle politiche sociali </w:t>
      </w:r>
      <w:r w:rsidR="00CF5831" w:rsidRPr="00A51547">
        <w:t>tratti d</w:t>
      </w:r>
      <w:r w:rsidR="004176C3" w:rsidRPr="00A51547">
        <w:t>alle Comunicazioni obbligatorie (CO) rielaborate</w:t>
      </w:r>
      <w:r w:rsidR="004176C3" w:rsidRPr="00A51547">
        <w:rPr>
          <w:rStyle w:val="Rimandonotaapidipagina"/>
        </w:rPr>
        <w:footnoteReference w:id="1"/>
      </w:r>
      <w:r w:rsidR="004176C3" w:rsidRPr="00A51547">
        <w:t xml:space="preserve"> (+</w:t>
      </w:r>
      <w:r w:rsidRPr="00A51547">
        <w:t>3</w:t>
      </w:r>
      <w:r w:rsidR="007F072B" w:rsidRPr="00A51547">
        <w:t>76</w:t>
      </w:r>
      <w:r w:rsidRPr="00A51547">
        <w:t xml:space="preserve"> </w:t>
      </w:r>
      <w:r w:rsidR="004176C3" w:rsidRPr="00A51547">
        <w:t xml:space="preserve">mila posizioni lavorative </w:t>
      </w:r>
      <w:r w:rsidR="00363A1B" w:rsidRPr="00A51547">
        <w:t>n</w:t>
      </w:r>
      <w:r w:rsidR="004176C3" w:rsidRPr="00A51547">
        <w:t xml:space="preserve">el </w:t>
      </w:r>
      <w:r w:rsidR="007F072B" w:rsidRPr="00A51547">
        <w:t xml:space="preserve">primo </w:t>
      </w:r>
      <w:r w:rsidR="004176C3" w:rsidRPr="00A51547">
        <w:t>trimestre 201</w:t>
      </w:r>
      <w:r w:rsidR="007F072B" w:rsidRPr="00A51547">
        <w:t>9</w:t>
      </w:r>
      <w:r w:rsidR="004176C3" w:rsidRPr="00A51547">
        <w:t xml:space="preserve"> rispetto al </w:t>
      </w:r>
      <w:r w:rsidR="007F072B" w:rsidRPr="00A51547">
        <w:t xml:space="preserve">primo </w:t>
      </w:r>
      <w:r w:rsidR="004176C3" w:rsidRPr="00A51547">
        <w:t>del 201</w:t>
      </w:r>
      <w:r w:rsidR="007F072B" w:rsidRPr="00A51547">
        <w:t>8</w:t>
      </w:r>
      <w:r w:rsidR="004176C3" w:rsidRPr="00A51547">
        <w:t xml:space="preserve">, Tavola 1) e nei dati </w:t>
      </w:r>
      <w:r w:rsidR="00AC2E33">
        <w:br/>
      </w:r>
      <w:r w:rsidR="004176C3" w:rsidRPr="00A51547">
        <w:t>dell’Inps-</w:t>
      </w:r>
      <w:r w:rsidR="00E32DE9" w:rsidRPr="00A51547">
        <w:rPr>
          <w:rFonts w:cs="Times New Roman"/>
          <w:szCs w:val="22"/>
        </w:rPr>
        <w:t xml:space="preserve">Uniemens </w:t>
      </w:r>
      <w:r w:rsidR="004176C3" w:rsidRPr="00A51547">
        <w:t>riferiti alle sole imprese private (+</w:t>
      </w:r>
      <w:r w:rsidR="007F072B" w:rsidRPr="00A51547">
        <w:t>351</w:t>
      </w:r>
      <w:r w:rsidR="00A72FA6" w:rsidRPr="00A51547">
        <w:t xml:space="preserve"> </w:t>
      </w:r>
      <w:r w:rsidR="004176C3" w:rsidRPr="00A51547">
        <w:t>mila posizioni lavorative al 3</w:t>
      </w:r>
      <w:r w:rsidR="00DF69A6" w:rsidRPr="00A51547">
        <w:t>1</w:t>
      </w:r>
      <w:r w:rsidR="00592201" w:rsidRPr="00A51547">
        <w:t xml:space="preserve"> </w:t>
      </w:r>
      <w:r w:rsidR="007F072B" w:rsidRPr="00A51547">
        <w:t xml:space="preserve">marzo </w:t>
      </w:r>
      <w:r w:rsidR="004176C3" w:rsidRPr="00A51547">
        <w:t>201</w:t>
      </w:r>
      <w:r w:rsidR="007F072B" w:rsidRPr="00A51547">
        <w:t>9</w:t>
      </w:r>
      <w:r w:rsidR="004176C3" w:rsidRPr="00A51547">
        <w:t xml:space="preserve"> rispetto al </w:t>
      </w:r>
      <w:r w:rsidR="00592201" w:rsidRPr="00A51547">
        <w:t>3</w:t>
      </w:r>
      <w:r w:rsidR="00DF69A6" w:rsidRPr="00A51547">
        <w:t>1</w:t>
      </w:r>
      <w:r w:rsidR="00592201" w:rsidRPr="00A51547">
        <w:t xml:space="preserve"> </w:t>
      </w:r>
      <w:r w:rsidR="007F072B" w:rsidRPr="00A51547">
        <w:t xml:space="preserve">marzo </w:t>
      </w:r>
      <w:r w:rsidR="004176C3" w:rsidRPr="00A51547">
        <w:t>201</w:t>
      </w:r>
      <w:r w:rsidR="007F072B" w:rsidRPr="00A51547">
        <w:t>8</w:t>
      </w:r>
      <w:r w:rsidR="004176C3" w:rsidRPr="00A51547">
        <w:t xml:space="preserve">). L’aumento tendenziale delle posizioni lavorative dipendenti </w:t>
      </w:r>
      <w:r w:rsidR="00817B6D" w:rsidRPr="00A51547">
        <w:t>interessa</w:t>
      </w:r>
      <w:r w:rsidR="004176C3" w:rsidRPr="00A51547">
        <w:t xml:space="preserve"> tutte le classi dimensionali d’impresa (Tavola </w:t>
      </w:r>
      <w:r w:rsidR="003C0DC8" w:rsidRPr="00A51547">
        <w:t>5</w:t>
      </w:r>
      <w:r w:rsidR="004176C3" w:rsidRPr="00A51547">
        <w:t>).</w:t>
      </w:r>
    </w:p>
    <w:p w14:paraId="148DBCB2" w14:textId="582B0D9B" w:rsidR="004176C3" w:rsidRPr="00A51547" w:rsidRDefault="00DA7C36" w:rsidP="000D29B9">
      <w:pPr>
        <w:numPr>
          <w:ilvl w:val="0"/>
          <w:numId w:val="17"/>
        </w:numPr>
        <w:tabs>
          <w:tab w:val="clear" w:pos="720"/>
          <w:tab w:val="num" w:pos="426"/>
          <w:tab w:val="left" w:pos="993"/>
        </w:tabs>
        <w:ind w:left="426" w:right="282" w:hanging="426"/>
        <w:rPr>
          <w:rFonts w:cs="Arial"/>
          <w:szCs w:val="20"/>
        </w:rPr>
      </w:pPr>
      <w:r w:rsidRPr="00A51547">
        <w:rPr>
          <w:rFonts w:cs="Arial"/>
          <w:b/>
          <w:szCs w:val="20"/>
        </w:rPr>
        <w:t>I</w:t>
      </w:r>
      <w:r w:rsidR="004176C3" w:rsidRPr="00A51547">
        <w:rPr>
          <w:rFonts w:cs="Arial"/>
          <w:b/>
          <w:szCs w:val="20"/>
        </w:rPr>
        <w:t>l lavoro indipendente</w:t>
      </w:r>
      <w:r w:rsidR="00E138DD" w:rsidRPr="00A51547">
        <w:rPr>
          <w:rFonts w:cs="Arial"/>
          <w:b/>
          <w:szCs w:val="20"/>
        </w:rPr>
        <w:t xml:space="preserve">, </w:t>
      </w:r>
      <w:r w:rsidR="00E138DD" w:rsidRPr="00A51547">
        <w:rPr>
          <w:rFonts w:cs="Arial"/>
          <w:szCs w:val="20"/>
        </w:rPr>
        <w:t>secondo</w:t>
      </w:r>
      <w:r w:rsidR="00E138DD" w:rsidRPr="00A51547">
        <w:rPr>
          <w:rFonts w:cs="Arial"/>
          <w:b/>
          <w:szCs w:val="20"/>
        </w:rPr>
        <w:t xml:space="preserve"> </w:t>
      </w:r>
      <w:r w:rsidR="00E138DD" w:rsidRPr="00A51547">
        <w:rPr>
          <w:rFonts w:cs="Arial"/>
          <w:szCs w:val="20"/>
        </w:rPr>
        <w:t>la</w:t>
      </w:r>
      <w:r w:rsidR="00E138DD" w:rsidRPr="00A51547">
        <w:rPr>
          <w:rFonts w:cs="Arial"/>
          <w:b/>
          <w:szCs w:val="20"/>
        </w:rPr>
        <w:t xml:space="preserve"> </w:t>
      </w:r>
      <w:r w:rsidR="00E138DD" w:rsidRPr="00A51547">
        <w:rPr>
          <w:rFonts w:cs="Arial"/>
          <w:szCs w:val="20"/>
        </w:rPr>
        <w:t xml:space="preserve">Rilevazione sulle forze di lavoro dell’Istat, </w:t>
      </w:r>
      <w:r w:rsidRPr="00A51547">
        <w:rPr>
          <w:rFonts w:cs="Arial"/>
          <w:b/>
          <w:szCs w:val="20"/>
        </w:rPr>
        <w:t>mostra una crescita</w:t>
      </w:r>
      <w:r w:rsidRPr="00A51547">
        <w:rPr>
          <w:rFonts w:cs="Arial"/>
          <w:szCs w:val="20"/>
        </w:rPr>
        <w:t xml:space="preserve"> sia </w:t>
      </w:r>
      <w:r w:rsidR="0048089F" w:rsidRPr="00A51547">
        <w:rPr>
          <w:rFonts w:cs="Arial"/>
          <w:szCs w:val="20"/>
        </w:rPr>
        <w:t>congiunturale</w:t>
      </w:r>
      <w:r w:rsidR="0048089F" w:rsidRPr="00A51547">
        <w:rPr>
          <w:rFonts w:cs="Arial"/>
          <w:b/>
          <w:szCs w:val="20"/>
        </w:rPr>
        <w:t xml:space="preserve"> </w:t>
      </w:r>
      <w:r w:rsidR="004176C3" w:rsidRPr="00A51547">
        <w:rPr>
          <w:rFonts w:cs="Arial"/>
          <w:szCs w:val="20"/>
        </w:rPr>
        <w:t>(</w:t>
      </w:r>
      <w:r w:rsidRPr="00A51547">
        <w:rPr>
          <w:rFonts w:cs="Arial"/>
          <w:szCs w:val="20"/>
        </w:rPr>
        <w:t>+7</w:t>
      </w:r>
      <w:r w:rsidR="004176C3" w:rsidRPr="00A51547">
        <w:rPr>
          <w:rFonts w:cs="Arial"/>
          <w:szCs w:val="20"/>
        </w:rPr>
        <w:t xml:space="preserve"> mila occupati, </w:t>
      </w:r>
      <w:r w:rsidR="00A4643F" w:rsidRPr="00A51547">
        <w:rPr>
          <w:rFonts w:cs="Arial"/>
          <w:szCs w:val="20"/>
        </w:rPr>
        <w:t>+0</w:t>
      </w:r>
      <w:r w:rsidR="004176C3" w:rsidRPr="00A51547">
        <w:rPr>
          <w:rFonts w:cs="Arial"/>
          <w:szCs w:val="20"/>
        </w:rPr>
        <w:t>,</w:t>
      </w:r>
      <w:r w:rsidR="00A4643F" w:rsidRPr="00A51547">
        <w:rPr>
          <w:rFonts w:cs="Arial"/>
          <w:szCs w:val="20"/>
        </w:rPr>
        <w:t>1</w:t>
      </w:r>
      <w:r w:rsidR="004176C3" w:rsidRPr="00A51547">
        <w:rPr>
          <w:rFonts w:cs="Arial"/>
          <w:szCs w:val="20"/>
        </w:rPr>
        <w:t>%)</w:t>
      </w:r>
      <w:r w:rsidR="00F341E4">
        <w:rPr>
          <w:rFonts w:cs="Arial"/>
          <w:szCs w:val="20"/>
        </w:rPr>
        <w:t xml:space="preserve">, dopo un calo quasi ininterrotto dal primo trimestre 2017, </w:t>
      </w:r>
      <w:r w:rsidRPr="00A51547">
        <w:rPr>
          <w:rFonts w:cs="Arial"/>
          <w:szCs w:val="20"/>
        </w:rPr>
        <w:t>sia</w:t>
      </w:r>
      <w:r w:rsidR="0048089F" w:rsidRPr="00A51547">
        <w:rPr>
          <w:rFonts w:cs="Arial"/>
          <w:szCs w:val="20"/>
        </w:rPr>
        <w:t xml:space="preserve"> </w:t>
      </w:r>
      <w:r w:rsidR="000D1AFC" w:rsidRPr="00A51547">
        <w:rPr>
          <w:rFonts w:cs="Arial"/>
          <w:szCs w:val="20"/>
        </w:rPr>
        <w:t>su base annua</w:t>
      </w:r>
      <w:r w:rsidR="004176C3" w:rsidRPr="00A51547">
        <w:rPr>
          <w:rFonts w:cs="Arial"/>
          <w:szCs w:val="20"/>
        </w:rPr>
        <w:t xml:space="preserve"> (</w:t>
      </w:r>
      <w:r w:rsidR="004C7AE7" w:rsidRPr="00A51547">
        <w:rPr>
          <w:rFonts w:cs="Arial"/>
          <w:szCs w:val="20"/>
        </w:rPr>
        <w:t>+</w:t>
      </w:r>
      <w:r w:rsidR="00A4643F" w:rsidRPr="00A51547">
        <w:rPr>
          <w:rFonts w:cs="Arial"/>
          <w:szCs w:val="20"/>
        </w:rPr>
        <w:t>5</w:t>
      </w:r>
      <w:r w:rsidR="002733B1" w:rsidRPr="00A51547">
        <w:rPr>
          <w:rFonts w:cs="Arial"/>
          <w:szCs w:val="20"/>
        </w:rPr>
        <w:t>2</w:t>
      </w:r>
      <w:r w:rsidR="004176C3" w:rsidRPr="00A51547">
        <w:rPr>
          <w:rFonts w:cs="Arial"/>
          <w:szCs w:val="20"/>
        </w:rPr>
        <w:t xml:space="preserve"> mila</w:t>
      </w:r>
      <w:r w:rsidR="00E51581" w:rsidRPr="00A51547">
        <w:rPr>
          <w:rFonts w:cs="Arial"/>
          <w:szCs w:val="20"/>
        </w:rPr>
        <w:t xml:space="preserve"> </w:t>
      </w:r>
      <w:r w:rsidR="004176C3" w:rsidRPr="00A51547">
        <w:rPr>
          <w:rFonts w:cs="Arial"/>
          <w:szCs w:val="20"/>
        </w:rPr>
        <w:t xml:space="preserve">occupati, </w:t>
      </w:r>
      <w:r w:rsidR="004C7AE7" w:rsidRPr="00A51547">
        <w:rPr>
          <w:rFonts w:cs="Arial"/>
          <w:szCs w:val="20"/>
        </w:rPr>
        <w:t>+</w:t>
      </w:r>
      <w:r w:rsidR="00A4643F" w:rsidRPr="00A51547">
        <w:rPr>
          <w:rFonts w:cs="Arial"/>
          <w:szCs w:val="20"/>
        </w:rPr>
        <w:t>1</w:t>
      </w:r>
      <w:r w:rsidR="004176C3" w:rsidRPr="00A51547">
        <w:rPr>
          <w:rFonts w:cs="Arial"/>
          <w:szCs w:val="20"/>
        </w:rPr>
        <w:t>,</w:t>
      </w:r>
      <w:r w:rsidR="00A4643F" w:rsidRPr="00A51547">
        <w:rPr>
          <w:rFonts w:cs="Arial"/>
          <w:szCs w:val="20"/>
        </w:rPr>
        <w:t>0</w:t>
      </w:r>
      <w:r w:rsidR="006301FC" w:rsidRPr="00A51547">
        <w:rPr>
          <w:rFonts w:cs="Arial"/>
          <w:szCs w:val="20"/>
        </w:rPr>
        <w:t>%)</w:t>
      </w:r>
      <w:r w:rsidR="00F341E4">
        <w:rPr>
          <w:rFonts w:cs="Arial"/>
          <w:szCs w:val="20"/>
        </w:rPr>
        <w:t xml:space="preserve"> per il quarto trimestre consecutivo</w:t>
      </w:r>
      <w:r w:rsidR="004176C3" w:rsidRPr="00A51547">
        <w:rPr>
          <w:rFonts w:cs="Arial"/>
          <w:szCs w:val="20"/>
        </w:rPr>
        <w:t>.</w:t>
      </w:r>
      <w:r w:rsidR="00D51750" w:rsidRPr="00A51547">
        <w:rPr>
          <w:rStyle w:val="Rimandonotaapidipagina"/>
          <w:szCs w:val="20"/>
        </w:rPr>
        <w:footnoteReference w:id="2"/>
      </w:r>
      <w:r w:rsidR="004176C3" w:rsidRPr="00A51547">
        <w:rPr>
          <w:rFonts w:cs="Arial"/>
          <w:szCs w:val="20"/>
        </w:rPr>
        <w:t xml:space="preserve"> </w:t>
      </w:r>
    </w:p>
    <w:p w14:paraId="1C8CB06A" w14:textId="05177033" w:rsidR="004176C3" w:rsidRPr="00A51547" w:rsidRDefault="004176C3" w:rsidP="00AA0EE8">
      <w:pPr>
        <w:numPr>
          <w:ilvl w:val="0"/>
          <w:numId w:val="17"/>
        </w:numPr>
        <w:tabs>
          <w:tab w:val="clear" w:pos="720"/>
          <w:tab w:val="num" w:pos="426"/>
          <w:tab w:val="left" w:pos="993"/>
          <w:tab w:val="left" w:pos="2694"/>
        </w:tabs>
        <w:ind w:left="426" w:right="282" w:hanging="426"/>
        <w:rPr>
          <w:rFonts w:cs="Arial"/>
          <w:szCs w:val="20"/>
        </w:rPr>
      </w:pPr>
      <w:r w:rsidRPr="00A51547">
        <w:rPr>
          <w:rFonts w:cs="Arial"/>
          <w:b/>
          <w:szCs w:val="20"/>
        </w:rPr>
        <w:lastRenderedPageBreak/>
        <w:t>Le posizioni lavorative dipendenti</w:t>
      </w:r>
      <w:r w:rsidRPr="00A51547">
        <w:rPr>
          <w:rFonts w:cs="Arial"/>
          <w:szCs w:val="20"/>
        </w:rPr>
        <w:t>, nei dati destagionalizzati,</w:t>
      </w:r>
      <w:r w:rsidRPr="00A51547">
        <w:rPr>
          <w:rFonts w:cs="Arial"/>
          <w:b/>
          <w:szCs w:val="20"/>
        </w:rPr>
        <w:t xml:space="preserve"> </w:t>
      </w:r>
      <w:r w:rsidR="00B6706A" w:rsidRPr="00A51547">
        <w:rPr>
          <w:rFonts w:cs="Arial"/>
          <w:szCs w:val="20"/>
        </w:rPr>
        <w:t>presentano</w:t>
      </w:r>
      <w:r w:rsidR="00B6706A" w:rsidRPr="00A51547">
        <w:rPr>
          <w:rFonts w:cs="Arial"/>
          <w:b/>
          <w:szCs w:val="20"/>
        </w:rPr>
        <w:t xml:space="preserve"> </w:t>
      </w:r>
      <w:r w:rsidRPr="00A51547">
        <w:rPr>
          <w:rFonts w:cs="Arial"/>
          <w:b/>
          <w:szCs w:val="20"/>
        </w:rPr>
        <w:t>un</w:t>
      </w:r>
      <w:r w:rsidR="00FD44B3" w:rsidRPr="00A51547">
        <w:rPr>
          <w:rFonts w:cs="Arial"/>
          <w:b/>
          <w:szCs w:val="20"/>
        </w:rPr>
        <w:t xml:space="preserve"> </w:t>
      </w:r>
      <w:r w:rsidRPr="00A51547">
        <w:rPr>
          <w:rFonts w:cs="Arial"/>
          <w:b/>
          <w:szCs w:val="20"/>
        </w:rPr>
        <w:t>incremento congiunturale.</w:t>
      </w:r>
      <w:r w:rsidRPr="00A51547">
        <w:rPr>
          <w:rFonts w:cs="Arial"/>
          <w:szCs w:val="20"/>
        </w:rPr>
        <w:t xml:space="preserve"> Nel </w:t>
      </w:r>
      <w:r w:rsidR="00A11063" w:rsidRPr="00A51547">
        <w:rPr>
          <w:rFonts w:cs="Arial"/>
          <w:szCs w:val="20"/>
        </w:rPr>
        <w:t>prim</w:t>
      </w:r>
      <w:r w:rsidR="009012F8" w:rsidRPr="00A51547">
        <w:rPr>
          <w:rFonts w:cs="Arial"/>
          <w:szCs w:val="20"/>
        </w:rPr>
        <w:t xml:space="preserve">o </w:t>
      </w:r>
      <w:r w:rsidRPr="00A51547">
        <w:rPr>
          <w:rFonts w:cs="Arial"/>
          <w:szCs w:val="20"/>
        </w:rPr>
        <w:t>trimestre 201</w:t>
      </w:r>
      <w:r w:rsidR="00A11063" w:rsidRPr="00A51547">
        <w:rPr>
          <w:rFonts w:cs="Arial"/>
          <w:szCs w:val="20"/>
        </w:rPr>
        <w:t>9</w:t>
      </w:r>
      <w:r w:rsidR="0090057A" w:rsidRPr="00A51547">
        <w:rPr>
          <w:rFonts w:cs="Arial"/>
          <w:szCs w:val="20"/>
        </w:rPr>
        <w:t>,</w:t>
      </w:r>
      <w:r w:rsidRPr="00A51547">
        <w:rPr>
          <w:rFonts w:cs="Arial"/>
          <w:szCs w:val="20"/>
        </w:rPr>
        <w:t xml:space="preserve"> </w:t>
      </w:r>
      <w:r w:rsidR="006301FC" w:rsidRPr="00A51547">
        <w:rPr>
          <w:rFonts w:cs="Arial"/>
          <w:szCs w:val="20"/>
        </w:rPr>
        <w:t>in base alle</w:t>
      </w:r>
      <w:r w:rsidRPr="00A51547">
        <w:rPr>
          <w:rFonts w:cs="Arial"/>
          <w:szCs w:val="20"/>
        </w:rPr>
        <w:t xml:space="preserve"> CO</w:t>
      </w:r>
      <w:r w:rsidR="0090057A" w:rsidRPr="00A51547">
        <w:rPr>
          <w:rFonts w:cs="Arial"/>
          <w:szCs w:val="20"/>
        </w:rPr>
        <w:t>,</w:t>
      </w:r>
      <w:r w:rsidRPr="00A51547">
        <w:rPr>
          <w:rFonts w:cs="Arial"/>
          <w:szCs w:val="20"/>
        </w:rPr>
        <w:t xml:space="preserve"> le attivazion</w:t>
      </w:r>
      <w:r w:rsidR="00CF5831" w:rsidRPr="00A51547">
        <w:rPr>
          <w:rFonts w:cs="Arial"/>
          <w:szCs w:val="20"/>
        </w:rPr>
        <w:t>i</w:t>
      </w:r>
      <w:r w:rsidRPr="00A51547">
        <w:rPr>
          <w:rFonts w:cs="Arial"/>
          <w:szCs w:val="20"/>
        </w:rPr>
        <w:t xml:space="preserve"> </w:t>
      </w:r>
      <w:r w:rsidR="006301FC" w:rsidRPr="00A51547">
        <w:rPr>
          <w:rFonts w:cs="Arial"/>
          <w:szCs w:val="20"/>
        </w:rPr>
        <w:t xml:space="preserve">sono </w:t>
      </w:r>
      <w:r w:rsidR="009F65AA" w:rsidRPr="00A51547">
        <w:rPr>
          <w:rFonts w:cs="Arial"/>
          <w:szCs w:val="20"/>
        </w:rPr>
        <w:t xml:space="preserve">state </w:t>
      </w:r>
      <w:r w:rsidR="006301FC" w:rsidRPr="00A51547">
        <w:rPr>
          <w:rFonts w:cs="Arial"/>
          <w:szCs w:val="20"/>
        </w:rPr>
        <w:t xml:space="preserve">2 milioni </w:t>
      </w:r>
      <w:r w:rsidR="00A11063" w:rsidRPr="00A51547">
        <w:rPr>
          <w:rFonts w:cs="Arial"/>
          <w:szCs w:val="20"/>
        </w:rPr>
        <w:t>580</w:t>
      </w:r>
      <w:r w:rsidR="006301FC" w:rsidRPr="00A51547">
        <w:rPr>
          <w:rFonts w:cs="Arial"/>
          <w:szCs w:val="20"/>
        </w:rPr>
        <w:t xml:space="preserve"> mila</w:t>
      </w:r>
      <w:r w:rsidRPr="00A51547">
        <w:rPr>
          <w:rFonts w:cs="Arial"/>
          <w:szCs w:val="20"/>
        </w:rPr>
        <w:t xml:space="preserve"> </w:t>
      </w:r>
      <w:r w:rsidR="006301FC" w:rsidRPr="00A51547">
        <w:rPr>
          <w:rFonts w:cs="Arial"/>
          <w:szCs w:val="20"/>
        </w:rPr>
        <w:t>e le</w:t>
      </w:r>
      <w:r w:rsidRPr="00A51547">
        <w:rPr>
          <w:rFonts w:cs="Arial"/>
          <w:szCs w:val="20"/>
        </w:rPr>
        <w:t xml:space="preserve"> cessazioni</w:t>
      </w:r>
      <w:r w:rsidR="006301FC" w:rsidRPr="00A51547">
        <w:rPr>
          <w:rFonts w:cs="Arial"/>
          <w:szCs w:val="20"/>
        </w:rPr>
        <w:t xml:space="preserve"> 2 milioni </w:t>
      </w:r>
      <w:r w:rsidR="00A11063" w:rsidRPr="00A51547">
        <w:rPr>
          <w:rFonts w:cs="Arial"/>
          <w:szCs w:val="20"/>
        </w:rPr>
        <w:t>443</w:t>
      </w:r>
      <w:r w:rsidR="006301FC" w:rsidRPr="00A51547">
        <w:rPr>
          <w:rFonts w:cs="Arial"/>
          <w:szCs w:val="20"/>
        </w:rPr>
        <w:t xml:space="preserve"> mila</w:t>
      </w:r>
      <w:r w:rsidRPr="00A51547">
        <w:rPr>
          <w:rFonts w:cs="Arial"/>
          <w:szCs w:val="20"/>
        </w:rPr>
        <w:t xml:space="preserve">, determinando un saldo positivo di </w:t>
      </w:r>
      <w:r w:rsidR="00A11063" w:rsidRPr="00A51547">
        <w:rPr>
          <w:rFonts w:cs="Arial"/>
          <w:szCs w:val="20"/>
        </w:rPr>
        <w:t>138</w:t>
      </w:r>
      <w:r w:rsidR="009012F8" w:rsidRPr="00A51547">
        <w:rPr>
          <w:rFonts w:cs="Arial"/>
          <w:szCs w:val="20"/>
        </w:rPr>
        <w:t xml:space="preserve"> </w:t>
      </w:r>
      <w:r w:rsidRPr="00A51547">
        <w:rPr>
          <w:rFonts w:cs="Arial"/>
          <w:szCs w:val="20"/>
        </w:rPr>
        <w:t>mila posizioni di lavoro dipendente</w:t>
      </w:r>
      <w:r w:rsidR="00316DCF" w:rsidRPr="00A51547">
        <w:rPr>
          <w:rFonts w:cs="Arial"/>
          <w:szCs w:val="20"/>
        </w:rPr>
        <w:t xml:space="preserve"> (Tavola 2)</w:t>
      </w:r>
      <w:r w:rsidRPr="00A51547">
        <w:rPr>
          <w:rFonts w:cs="Arial"/>
          <w:szCs w:val="20"/>
        </w:rPr>
        <w:t xml:space="preserve">. </w:t>
      </w:r>
      <w:r w:rsidR="00D33BB7" w:rsidRPr="00A51547">
        <w:rPr>
          <w:rFonts w:cs="Arial"/>
          <w:szCs w:val="20"/>
        </w:rPr>
        <w:t xml:space="preserve">La crescita riguarda </w:t>
      </w:r>
      <w:r w:rsidR="00A11063" w:rsidRPr="00A51547">
        <w:rPr>
          <w:rFonts w:cs="Arial"/>
          <w:szCs w:val="20"/>
        </w:rPr>
        <w:t>tutti i settori di attività economic</w:t>
      </w:r>
      <w:r w:rsidR="00B6706A">
        <w:rPr>
          <w:rFonts w:cs="Arial"/>
          <w:szCs w:val="20"/>
        </w:rPr>
        <w:t>a</w:t>
      </w:r>
      <w:r w:rsidR="00A11063" w:rsidRPr="00A51547">
        <w:rPr>
          <w:rFonts w:cs="Arial"/>
          <w:szCs w:val="20"/>
        </w:rPr>
        <w:t xml:space="preserve">: </w:t>
      </w:r>
      <w:r w:rsidR="001F348C" w:rsidRPr="00A51547">
        <w:rPr>
          <w:rFonts w:cs="Arial"/>
          <w:szCs w:val="20"/>
        </w:rPr>
        <w:t>oltre l’industria in senso stretto (+24 mila) e i servizi (+79 mila),</w:t>
      </w:r>
      <w:r w:rsidR="001F348C">
        <w:rPr>
          <w:rFonts w:cs="Arial"/>
          <w:szCs w:val="20"/>
        </w:rPr>
        <w:t xml:space="preserve"> </w:t>
      </w:r>
      <w:r w:rsidR="00EC6741" w:rsidRPr="00A51547">
        <w:rPr>
          <w:rFonts w:cs="Arial"/>
          <w:szCs w:val="20"/>
        </w:rPr>
        <w:t>incrementi rilevan</w:t>
      </w:r>
      <w:r w:rsidR="001F348C">
        <w:rPr>
          <w:rFonts w:cs="Arial"/>
          <w:szCs w:val="20"/>
        </w:rPr>
        <w:t>ti tornano a manifestarsi</w:t>
      </w:r>
      <w:r w:rsidR="00EC6741" w:rsidRPr="00A51547">
        <w:rPr>
          <w:rFonts w:cs="Arial"/>
          <w:szCs w:val="20"/>
        </w:rPr>
        <w:t xml:space="preserve"> anche </w:t>
      </w:r>
      <w:r w:rsidR="00A11063" w:rsidRPr="00A51547">
        <w:rPr>
          <w:rFonts w:cs="Arial"/>
          <w:szCs w:val="20"/>
        </w:rPr>
        <w:t>in agricolt</w:t>
      </w:r>
      <w:r w:rsidR="00EC6741" w:rsidRPr="00A51547">
        <w:rPr>
          <w:rFonts w:cs="Arial"/>
          <w:szCs w:val="20"/>
        </w:rPr>
        <w:t>u</w:t>
      </w:r>
      <w:r w:rsidR="00A11063" w:rsidRPr="00A51547">
        <w:rPr>
          <w:rFonts w:cs="Arial"/>
          <w:szCs w:val="20"/>
        </w:rPr>
        <w:t xml:space="preserve">ra </w:t>
      </w:r>
      <w:r w:rsidR="00EC6741" w:rsidRPr="00A51547">
        <w:rPr>
          <w:rFonts w:cs="Arial"/>
          <w:szCs w:val="20"/>
        </w:rPr>
        <w:t>(+17 mila) e nelle costruzioni (+18 mila)</w:t>
      </w:r>
      <w:r w:rsidRPr="00A51547">
        <w:rPr>
          <w:rFonts w:cs="Arial"/>
          <w:szCs w:val="20"/>
        </w:rPr>
        <w:t xml:space="preserve">. </w:t>
      </w:r>
      <w:r w:rsidR="00AB214E" w:rsidRPr="00A51547">
        <w:rPr>
          <w:rFonts w:cs="Arial"/>
          <w:szCs w:val="20"/>
        </w:rPr>
        <w:t>Andamenti</w:t>
      </w:r>
      <w:r w:rsidRPr="00A51547">
        <w:rPr>
          <w:rFonts w:cs="Arial"/>
          <w:szCs w:val="20"/>
        </w:rPr>
        <w:t xml:space="preserve"> analog</w:t>
      </w:r>
      <w:r w:rsidR="00AB214E" w:rsidRPr="00A51547">
        <w:rPr>
          <w:rFonts w:cs="Arial"/>
          <w:szCs w:val="20"/>
        </w:rPr>
        <w:t>hi</w:t>
      </w:r>
      <w:r w:rsidRPr="00A51547">
        <w:rPr>
          <w:rFonts w:cs="Arial"/>
          <w:szCs w:val="20"/>
        </w:rPr>
        <w:t xml:space="preserve"> si riscontra</w:t>
      </w:r>
      <w:r w:rsidR="00AB214E" w:rsidRPr="00A51547">
        <w:rPr>
          <w:rFonts w:cs="Arial"/>
          <w:szCs w:val="20"/>
        </w:rPr>
        <w:t>no</w:t>
      </w:r>
      <w:r w:rsidRPr="00A51547">
        <w:rPr>
          <w:rFonts w:cs="Arial"/>
          <w:szCs w:val="20"/>
        </w:rPr>
        <w:t xml:space="preserve"> nelle posizioni lavorative dei dipendenti del settore privato extra-agricolo (Istat</w:t>
      </w:r>
      <w:r w:rsidR="00311F68" w:rsidRPr="00A51547">
        <w:rPr>
          <w:rFonts w:cs="Arial"/>
          <w:szCs w:val="20"/>
        </w:rPr>
        <w:t>, Rilevazione Oros</w:t>
      </w:r>
      <w:r w:rsidRPr="00A51547">
        <w:rPr>
          <w:rFonts w:cs="Arial"/>
          <w:szCs w:val="20"/>
        </w:rPr>
        <w:t>)</w:t>
      </w:r>
      <w:r w:rsidR="00966434" w:rsidRPr="00A51547">
        <w:rPr>
          <w:rFonts w:cs="Arial"/>
          <w:szCs w:val="20"/>
        </w:rPr>
        <w:t>,</w:t>
      </w:r>
      <w:r w:rsidRPr="00A51547">
        <w:rPr>
          <w:rFonts w:cs="Arial"/>
          <w:szCs w:val="20"/>
        </w:rPr>
        <w:t xml:space="preserve"> dove la variazione congiunturale d</w:t>
      </w:r>
      <w:r w:rsidR="00ED4EEC" w:rsidRPr="00A51547">
        <w:rPr>
          <w:rFonts w:cs="Arial"/>
          <w:szCs w:val="20"/>
        </w:rPr>
        <w:t xml:space="preserve">i </w:t>
      </w:r>
      <w:r w:rsidR="00564ECC" w:rsidRPr="00A51547">
        <w:rPr>
          <w:rFonts w:cs="Arial"/>
          <w:szCs w:val="20"/>
        </w:rPr>
        <w:t>+</w:t>
      </w:r>
      <w:r w:rsidR="00ED4EEC" w:rsidRPr="00A51547">
        <w:rPr>
          <w:rFonts w:cs="Arial"/>
          <w:szCs w:val="20"/>
        </w:rPr>
        <w:t>0</w:t>
      </w:r>
      <w:r w:rsidRPr="00A51547">
        <w:rPr>
          <w:rFonts w:cs="Arial"/>
          <w:szCs w:val="20"/>
        </w:rPr>
        <w:t>,</w:t>
      </w:r>
      <w:r w:rsidR="005673D9" w:rsidRPr="00A51547">
        <w:rPr>
          <w:rFonts w:cs="Arial"/>
          <w:szCs w:val="20"/>
        </w:rPr>
        <w:t>6</w:t>
      </w:r>
      <w:r w:rsidRPr="00A51547">
        <w:rPr>
          <w:rFonts w:cs="Arial"/>
          <w:szCs w:val="20"/>
        </w:rPr>
        <w:t>% (+</w:t>
      </w:r>
      <w:r w:rsidR="005673D9" w:rsidRPr="00A51547">
        <w:rPr>
          <w:rFonts w:cs="Arial"/>
          <w:szCs w:val="20"/>
        </w:rPr>
        <w:t>74</w:t>
      </w:r>
      <w:r w:rsidRPr="00A51547">
        <w:rPr>
          <w:rFonts w:cs="Arial"/>
          <w:szCs w:val="20"/>
        </w:rPr>
        <w:t xml:space="preserve"> mila posizioni) è dovuta a</w:t>
      </w:r>
      <w:r w:rsidR="005673D9" w:rsidRPr="00A51547">
        <w:rPr>
          <w:rFonts w:cs="Arial"/>
          <w:szCs w:val="20"/>
        </w:rPr>
        <w:t>d</w:t>
      </w:r>
      <w:r w:rsidR="00787ED3" w:rsidRPr="00A51547">
        <w:rPr>
          <w:rFonts w:cs="Arial"/>
          <w:szCs w:val="20"/>
        </w:rPr>
        <w:t xml:space="preserve"> </w:t>
      </w:r>
      <w:r w:rsidRPr="00A51547">
        <w:rPr>
          <w:rFonts w:cs="Arial"/>
          <w:szCs w:val="20"/>
        </w:rPr>
        <w:t>aument</w:t>
      </w:r>
      <w:r w:rsidR="003043C1" w:rsidRPr="00A51547">
        <w:rPr>
          <w:rFonts w:cs="Arial"/>
          <w:szCs w:val="20"/>
        </w:rPr>
        <w:t>i di simile entità</w:t>
      </w:r>
      <w:r w:rsidRPr="00A51547">
        <w:rPr>
          <w:rFonts w:cs="Arial"/>
          <w:szCs w:val="20"/>
        </w:rPr>
        <w:t xml:space="preserve"> ne</w:t>
      </w:r>
      <w:r w:rsidR="005673D9" w:rsidRPr="00A51547">
        <w:rPr>
          <w:rFonts w:cs="Arial"/>
          <w:szCs w:val="20"/>
        </w:rPr>
        <w:t>ll’industria in senso stretto</w:t>
      </w:r>
      <w:r w:rsidRPr="00A51547">
        <w:rPr>
          <w:rFonts w:cs="Arial"/>
          <w:szCs w:val="20"/>
        </w:rPr>
        <w:t xml:space="preserve"> (+</w:t>
      </w:r>
      <w:r w:rsidR="00364D8D" w:rsidRPr="00A51547">
        <w:rPr>
          <w:rFonts w:cs="Arial"/>
          <w:szCs w:val="20"/>
        </w:rPr>
        <w:t>0</w:t>
      </w:r>
      <w:r w:rsidRPr="00A51547">
        <w:rPr>
          <w:rFonts w:cs="Arial"/>
          <w:szCs w:val="20"/>
        </w:rPr>
        <w:t>,</w:t>
      </w:r>
      <w:r w:rsidR="005673D9" w:rsidRPr="00A51547">
        <w:rPr>
          <w:rFonts w:cs="Arial"/>
          <w:szCs w:val="20"/>
        </w:rPr>
        <w:t>5</w:t>
      </w:r>
      <w:r w:rsidRPr="00A51547">
        <w:rPr>
          <w:rFonts w:cs="Arial"/>
          <w:szCs w:val="20"/>
        </w:rPr>
        <w:t>%, +</w:t>
      </w:r>
      <w:r w:rsidR="00AD108B" w:rsidRPr="00A51547">
        <w:rPr>
          <w:rFonts w:cs="Arial"/>
          <w:szCs w:val="20"/>
        </w:rPr>
        <w:t>2</w:t>
      </w:r>
      <w:r w:rsidR="005673D9" w:rsidRPr="00A51547">
        <w:rPr>
          <w:rFonts w:cs="Arial"/>
          <w:szCs w:val="20"/>
        </w:rPr>
        <w:t>0</w:t>
      </w:r>
      <w:r w:rsidRPr="00A51547">
        <w:rPr>
          <w:rFonts w:cs="Arial"/>
          <w:szCs w:val="20"/>
        </w:rPr>
        <w:t xml:space="preserve"> mila posizioni) </w:t>
      </w:r>
      <w:r w:rsidR="00AD108B" w:rsidRPr="00A51547">
        <w:rPr>
          <w:rFonts w:cs="Arial"/>
          <w:szCs w:val="20"/>
        </w:rPr>
        <w:t>e ne</w:t>
      </w:r>
      <w:r w:rsidR="005673D9" w:rsidRPr="00A51547">
        <w:rPr>
          <w:rFonts w:cs="Arial"/>
          <w:szCs w:val="20"/>
        </w:rPr>
        <w:t>i servizi</w:t>
      </w:r>
      <w:r w:rsidR="00AD108B" w:rsidRPr="00A51547">
        <w:rPr>
          <w:rFonts w:cs="Arial"/>
          <w:szCs w:val="20"/>
        </w:rPr>
        <w:t xml:space="preserve"> (+0,</w:t>
      </w:r>
      <w:r w:rsidR="005673D9" w:rsidRPr="00A51547">
        <w:rPr>
          <w:rFonts w:cs="Arial"/>
          <w:szCs w:val="20"/>
        </w:rPr>
        <w:t>6</w:t>
      </w:r>
      <w:r w:rsidR="00AD108B" w:rsidRPr="00A51547">
        <w:rPr>
          <w:rFonts w:cs="Arial"/>
          <w:szCs w:val="20"/>
        </w:rPr>
        <w:t>%, +</w:t>
      </w:r>
      <w:r w:rsidR="003043C1" w:rsidRPr="00A51547">
        <w:rPr>
          <w:rFonts w:cs="Arial"/>
          <w:szCs w:val="20"/>
        </w:rPr>
        <w:t>47</w:t>
      </w:r>
      <w:r w:rsidR="00AD108B" w:rsidRPr="00A51547">
        <w:rPr>
          <w:rFonts w:cs="Arial"/>
          <w:szCs w:val="20"/>
        </w:rPr>
        <w:t xml:space="preserve"> mila)</w:t>
      </w:r>
      <w:r w:rsidR="003043C1" w:rsidRPr="00A51547">
        <w:rPr>
          <w:rFonts w:cs="Arial"/>
          <w:szCs w:val="20"/>
        </w:rPr>
        <w:t xml:space="preserve"> e lievemente più ampi nelle costruzioni</w:t>
      </w:r>
      <w:r w:rsidRPr="00A51547">
        <w:rPr>
          <w:rFonts w:cs="Arial"/>
          <w:szCs w:val="20"/>
        </w:rPr>
        <w:t xml:space="preserve"> (+0,</w:t>
      </w:r>
      <w:r w:rsidR="003043C1" w:rsidRPr="00A51547">
        <w:rPr>
          <w:rFonts w:cs="Arial"/>
          <w:szCs w:val="20"/>
        </w:rPr>
        <w:t>9</w:t>
      </w:r>
      <w:r w:rsidRPr="00A51547">
        <w:rPr>
          <w:rFonts w:cs="Arial"/>
          <w:szCs w:val="20"/>
        </w:rPr>
        <w:t>%, +</w:t>
      </w:r>
      <w:r w:rsidR="003043C1" w:rsidRPr="00A51547">
        <w:rPr>
          <w:rFonts w:cs="Arial"/>
          <w:szCs w:val="20"/>
        </w:rPr>
        <w:t>7</w:t>
      </w:r>
      <w:r w:rsidRPr="00A51547">
        <w:rPr>
          <w:rFonts w:cs="Arial"/>
          <w:szCs w:val="20"/>
        </w:rPr>
        <w:t xml:space="preserve"> mila)</w:t>
      </w:r>
      <w:r w:rsidR="00C63BE3" w:rsidRPr="00A51547">
        <w:rPr>
          <w:rFonts w:cs="Arial"/>
          <w:szCs w:val="20"/>
        </w:rPr>
        <w:t xml:space="preserve"> (</w:t>
      </w:r>
      <w:r w:rsidRPr="00A51547">
        <w:rPr>
          <w:rFonts w:cs="Arial"/>
          <w:szCs w:val="20"/>
        </w:rPr>
        <w:t>Tavola 1).</w:t>
      </w:r>
      <w:r w:rsidR="0072313D">
        <w:rPr>
          <w:rFonts w:cs="Arial"/>
          <w:szCs w:val="20"/>
        </w:rPr>
        <w:t xml:space="preserve"> </w:t>
      </w:r>
    </w:p>
    <w:p w14:paraId="5C588B61" w14:textId="0C0D8A00" w:rsidR="00AB214E" w:rsidRPr="000A02E9" w:rsidRDefault="00C95673" w:rsidP="004F27B6">
      <w:pPr>
        <w:pStyle w:val="elenco"/>
        <w:tabs>
          <w:tab w:val="clear" w:pos="720"/>
        </w:tabs>
        <w:ind w:left="426" w:hanging="426"/>
      </w:pPr>
      <w:r w:rsidRPr="000A02E9">
        <w:t>L</w:t>
      </w:r>
      <w:r w:rsidR="00B6706A" w:rsidRPr="000A02E9">
        <w:t>a crescita</w:t>
      </w:r>
      <w:r w:rsidR="004176C3" w:rsidRPr="000A02E9">
        <w:t xml:space="preserve"> congiunturale delle posizioni lavorative dipendenti sulla base delle CO </w:t>
      </w:r>
      <w:r w:rsidR="008175D6" w:rsidRPr="000A02E9">
        <w:t xml:space="preserve">riguarda le </w:t>
      </w:r>
      <w:r w:rsidR="00F35773" w:rsidRPr="000A02E9">
        <w:rPr>
          <w:b/>
        </w:rPr>
        <w:t xml:space="preserve">posizioni </w:t>
      </w:r>
      <w:r w:rsidR="008175D6" w:rsidRPr="000A02E9">
        <w:rPr>
          <w:b/>
        </w:rPr>
        <w:t xml:space="preserve">a tempo indeterminato </w:t>
      </w:r>
      <w:r w:rsidR="008175D6" w:rsidRPr="000A02E9">
        <w:t>(+</w:t>
      </w:r>
      <w:r w:rsidR="00EC6741" w:rsidRPr="000A02E9">
        <w:t>207</w:t>
      </w:r>
      <w:r w:rsidR="008175D6" w:rsidRPr="000A02E9">
        <w:t xml:space="preserve"> mila) </w:t>
      </w:r>
      <w:r w:rsidR="009012F8" w:rsidRPr="000A02E9">
        <w:t>mentre</w:t>
      </w:r>
      <w:r w:rsidR="009012F8" w:rsidRPr="000A02E9">
        <w:rPr>
          <w:b/>
        </w:rPr>
        <w:t xml:space="preserve"> </w:t>
      </w:r>
      <w:r w:rsidR="008175D6" w:rsidRPr="000A02E9">
        <w:t>quelle</w:t>
      </w:r>
      <w:r w:rsidR="008175D6" w:rsidRPr="000A02E9">
        <w:rPr>
          <w:b/>
        </w:rPr>
        <w:t xml:space="preserve"> </w:t>
      </w:r>
      <w:r w:rsidR="00F35773" w:rsidRPr="000A02E9">
        <w:rPr>
          <w:b/>
        </w:rPr>
        <w:t xml:space="preserve">a tempo determinato </w:t>
      </w:r>
      <w:r w:rsidR="00EC6741" w:rsidRPr="000A02E9">
        <w:t>subiscono una</w:t>
      </w:r>
      <w:r w:rsidR="00EC6741" w:rsidRPr="000A02E9">
        <w:rPr>
          <w:b/>
        </w:rPr>
        <w:t xml:space="preserve"> riduzione</w:t>
      </w:r>
      <w:r w:rsidR="00EC6741" w:rsidRPr="000A02E9">
        <w:t xml:space="preserve"> (-69 mila)</w:t>
      </w:r>
      <w:r w:rsidR="004176C3" w:rsidRPr="000A02E9">
        <w:rPr>
          <w:b/>
        </w:rPr>
        <w:t>.</w:t>
      </w:r>
      <w:r w:rsidR="004176C3" w:rsidRPr="000A02E9">
        <w:t xml:space="preserve"> </w:t>
      </w:r>
      <w:r w:rsidR="005060A6" w:rsidRPr="000A02E9">
        <w:t xml:space="preserve">Entrambe queste tendenze sono influenzate </w:t>
      </w:r>
      <w:r w:rsidR="00D21DC7" w:rsidRPr="000A02E9">
        <w:t xml:space="preserve">dal notevole aumento </w:t>
      </w:r>
      <w:r w:rsidR="004D14F4" w:rsidRPr="000A02E9">
        <w:t xml:space="preserve">delle </w:t>
      </w:r>
      <w:r w:rsidR="004D14F4" w:rsidRPr="000A02E9">
        <w:rPr>
          <w:b/>
        </w:rPr>
        <w:t>trasformazioni</w:t>
      </w:r>
      <w:r w:rsidR="00861A27" w:rsidRPr="000A02E9">
        <w:rPr>
          <w:b/>
        </w:rPr>
        <w:t xml:space="preserve"> </w:t>
      </w:r>
      <w:r w:rsidR="00D21DC7" w:rsidRPr="000A02E9">
        <w:rPr>
          <w:b/>
        </w:rPr>
        <w:t xml:space="preserve">a tempo indeterminato </w:t>
      </w:r>
      <w:r w:rsidR="00D21DC7" w:rsidRPr="000A02E9">
        <w:t>(+223 mila, +</w:t>
      </w:r>
      <w:r w:rsidR="001D6D1F" w:rsidRPr="000A02E9">
        <w:t>55%</w:t>
      </w:r>
      <w:r w:rsidR="00D21DC7" w:rsidRPr="000A02E9">
        <w:t>)</w:t>
      </w:r>
      <w:r w:rsidR="001D6D1F" w:rsidRPr="000A02E9">
        <w:t xml:space="preserve"> </w:t>
      </w:r>
      <w:r w:rsidR="00D21DC7" w:rsidRPr="000A02E9">
        <w:t>che</w:t>
      </w:r>
      <w:r w:rsidR="001D6D1F" w:rsidRPr="000A02E9">
        <w:t xml:space="preserve"> </w:t>
      </w:r>
      <w:r w:rsidR="006B785E" w:rsidRPr="000A02E9">
        <w:t xml:space="preserve">raggiungono </w:t>
      </w:r>
      <w:r w:rsidR="00B6706A" w:rsidRPr="000A02E9">
        <w:t>il</w:t>
      </w:r>
      <w:r w:rsidR="00E35B1B" w:rsidRPr="000A02E9">
        <w:t xml:space="preserve"> livello </w:t>
      </w:r>
      <w:r w:rsidR="00B6706A" w:rsidRPr="000A02E9">
        <w:t xml:space="preserve">massimo della serie storica </w:t>
      </w:r>
      <w:r w:rsidR="00D21DC7" w:rsidRPr="000A02E9">
        <w:t>contribu</w:t>
      </w:r>
      <w:r w:rsidR="00B6706A" w:rsidRPr="000A02E9">
        <w:t>endo</w:t>
      </w:r>
      <w:r w:rsidR="00D21DC7" w:rsidRPr="000A02E9">
        <w:t xml:space="preserve"> </w:t>
      </w:r>
      <w:r w:rsidR="00B6706A" w:rsidRPr="000A02E9">
        <w:t xml:space="preserve">in </w:t>
      </w:r>
      <w:r w:rsidR="00B6706A" w:rsidRPr="00723EA2">
        <w:t xml:space="preserve">modo complementare </w:t>
      </w:r>
      <w:r w:rsidR="00D21DC7" w:rsidRPr="00723EA2">
        <w:t xml:space="preserve">ad accrescere il numero di posizioni a tempo indeterminato </w:t>
      </w:r>
      <w:r w:rsidR="00DE3D97" w:rsidRPr="00723EA2">
        <w:t>e</w:t>
      </w:r>
      <w:r w:rsidR="00B6706A" w:rsidRPr="00723EA2">
        <w:t xml:space="preserve"> a diminuire</w:t>
      </w:r>
      <w:r w:rsidR="00D21DC7" w:rsidRPr="00723EA2">
        <w:t xml:space="preserve"> </w:t>
      </w:r>
      <w:r w:rsidR="00B6706A" w:rsidRPr="00723EA2">
        <w:t>quell</w:t>
      </w:r>
      <w:r w:rsidR="00872FBD" w:rsidRPr="00723EA2">
        <w:t>o delle posizioni</w:t>
      </w:r>
      <w:r w:rsidR="008175D6" w:rsidRPr="00723EA2">
        <w:t xml:space="preserve"> a termine</w:t>
      </w:r>
      <w:r w:rsidR="00B6706A" w:rsidRPr="00723EA2">
        <w:t>,</w:t>
      </w:r>
      <w:r w:rsidR="008175D6" w:rsidRPr="00723EA2">
        <w:t xml:space="preserve"> </w:t>
      </w:r>
      <w:r w:rsidR="00B6706A" w:rsidRPr="00723EA2">
        <w:t>in calo</w:t>
      </w:r>
      <w:r w:rsidR="00D21DC7" w:rsidRPr="00723EA2">
        <w:t xml:space="preserve"> </w:t>
      </w:r>
      <w:r w:rsidR="001D6D1F" w:rsidRPr="00723EA2">
        <w:t xml:space="preserve">per la prima volta dal secondo trimestre 2016 </w:t>
      </w:r>
      <w:r w:rsidR="008175D6" w:rsidRPr="00723EA2">
        <w:t>(Figura 1).</w:t>
      </w:r>
      <w:r w:rsidR="004176C3" w:rsidRPr="00723EA2">
        <w:t xml:space="preserve"> </w:t>
      </w:r>
      <w:r w:rsidR="005279F5" w:rsidRPr="00723EA2">
        <w:t>L’incidenza delle</w:t>
      </w:r>
      <w:r w:rsidR="005279F5" w:rsidRPr="000A02E9">
        <w:t xml:space="preserve"> </w:t>
      </w:r>
      <w:r w:rsidR="000B26EA" w:rsidRPr="000A02E9">
        <w:t xml:space="preserve">trasformazioni sul totale </w:t>
      </w:r>
      <w:r w:rsidR="000A02E9" w:rsidRPr="000A02E9">
        <w:t>degli ingressi</w:t>
      </w:r>
      <w:r w:rsidR="005279F5" w:rsidRPr="000A02E9">
        <w:t xml:space="preserve"> a tempo </w:t>
      </w:r>
      <w:r w:rsidR="00D47653" w:rsidRPr="000A02E9">
        <w:t>in</w:t>
      </w:r>
      <w:r w:rsidR="005279F5" w:rsidRPr="000A02E9">
        <w:t xml:space="preserve">determinato </w:t>
      </w:r>
      <w:r w:rsidR="000A02E9" w:rsidRPr="000A02E9">
        <w:t xml:space="preserve">(attivazioni e trasformazioni) </w:t>
      </w:r>
      <w:r w:rsidR="00B6706A" w:rsidRPr="000A02E9">
        <w:t>raggiunge il</w:t>
      </w:r>
      <w:r w:rsidR="000B26EA" w:rsidRPr="000A02E9">
        <w:t xml:space="preserve"> 28,5% con un incremento di </w:t>
      </w:r>
      <w:r w:rsidR="000A02E9" w:rsidRPr="000A02E9">
        <w:t>6</w:t>
      </w:r>
      <w:r w:rsidR="000B26EA" w:rsidRPr="000A02E9">
        <w:t xml:space="preserve">,5 punti percentuali rispetto </w:t>
      </w:r>
      <w:r w:rsidR="005279F5" w:rsidRPr="000A02E9">
        <w:t>al trimestre precedente.</w:t>
      </w:r>
      <w:r w:rsidR="00B6706A" w:rsidRPr="000A02E9">
        <w:t xml:space="preserve"> </w:t>
      </w:r>
    </w:p>
    <w:p w14:paraId="7602B43E" w14:textId="7F38AD30" w:rsidR="00BE5273" w:rsidRPr="00684674" w:rsidRDefault="007838BC" w:rsidP="00BE5273">
      <w:pPr>
        <w:pStyle w:val="elenco"/>
        <w:numPr>
          <w:ilvl w:val="0"/>
          <w:numId w:val="24"/>
        </w:numPr>
        <w:tabs>
          <w:tab w:val="clear" w:pos="720"/>
          <w:tab w:val="num" w:pos="426"/>
        </w:tabs>
        <w:ind w:left="426"/>
      </w:pPr>
      <w:r w:rsidRPr="007838BC">
        <w:t>S</w:t>
      </w:r>
      <w:r w:rsidR="00E82B5E" w:rsidRPr="007838BC">
        <w:t>u</w:t>
      </w:r>
      <w:r w:rsidR="00E82B5E" w:rsidRPr="00A51547">
        <w:rPr>
          <w:b/>
        </w:rPr>
        <w:t xml:space="preserve"> base annua </w:t>
      </w:r>
      <w:r w:rsidR="008C769D" w:rsidRPr="007838BC">
        <w:t>la</w:t>
      </w:r>
      <w:r w:rsidR="008C769D" w:rsidRPr="00A51547">
        <w:rPr>
          <w:b/>
        </w:rPr>
        <w:t xml:space="preserve"> dinamica </w:t>
      </w:r>
      <w:r w:rsidR="005279F5" w:rsidRPr="007838BC">
        <w:t>delle</w:t>
      </w:r>
      <w:r w:rsidR="005279F5" w:rsidRPr="00A51547">
        <w:rPr>
          <w:b/>
        </w:rPr>
        <w:t xml:space="preserve"> posizioni a tempo determinato</w:t>
      </w:r>
      <w:r w:rsidR="005279F5" w:rsidRPr="00A51547">
        <w:t xml:space="preserve"> </w:t>
      </w:r>
      <w:r w:rsidR="008C769D" w:rsidRPr="00A51547">
        <w:t xml:space="preserve">risulta </w:t>
      </w:r>
      <w:r w:rsidR="007F072B" w:rsidRPr="00A51547">
        <w:rPr>
          <w:b/>
        </w:rPr>
        <w:t>negativa</w:t>
      </w:r>
      <w:r w:rsidR="007F072B" w:rsidRPr="00A51547">
        <w:t xml:space="preserve"> </w:t>
      </w:r>
      <w:r w:rsidR="00527EC8">
        <w:t xml:space="preserve">nei dati CO </w:t>
      </w:r>
      <w:r w:rsidR="00AC2E33">
        <w:br/>
      </w:r>
      <w:r w:rsidR="005279F5" w:rsidRPr="00A51547">
        <w:t>(</w:t>
      </w:r>
      <w:r w:rsidR="007F072B" w:rsidRPr="00A51547">
        <w:t>-24</w:t>
      </w:r>
      <w:r w:rsidR="005279F5" w:rsidRPr="00A51547">
        <w:t xml:space="preserve"> mila</w:t>
      </w:r>
      <w:r w:rsidR="00FD4D59" w:rsidRPr="00A51547">
        <w:t>; Tavola 2</w:t>
      </w:r>
      <w:r w:rsidR="005279F5" w:rsidRPr="00A51547">
        <w:t>)</w:t>
      </w:r>
      <w:r w:rsidR="00C74BB3" w:rsidRPr="00A51547">
        <w:t>,</w:t>
      </w:r>
      <w:r w:rsidR="005D27AF" w:rsidRPr="00A51547">
        <w:t xml:space="preserve"> dopo undici trimestri di crescita</w:t>
      </w:r>
      <w:r w:rsidR="005279F5" w:rsidRPr="00A51547">
        <w:t xml:space="preserve">, sebbene in </w:t>
      </w:r>
      <w:r w:rsidR="008C769D" w:rsidRPr="00A51547">
        <w:t xml:space="preserve">progressivo </w:t>
      </w:r>
      <w:r w:rsidR="005279F5" w:rsidRPr="00A51547">
        <w:t xml:space="preserve">rallentamento </w:t>
      </w:r>
      <w:r w:rsidR="005D27AF" w:rsidRPr="00A51547">
        <w:t xml:space="preserve">nei </w:t>
      </w:r>
      <w:r w:rsidR="005279F5" w:rsidRPr="00A51547">
        <w:t>tre trimestri precedenti (</w:t>
      </w:r>
      <w:r w:rsidR="005D27AF" w:rsidRPr="00A51547">
        <w:t xml:space="preserve">+155 mila, </w:t>
      </w:r>
      <w:r w:rsidR="005279F5" w:rsidRPr="00A51547">
        <w:t>+2</w:t>
      </w:r>
      <w:r w:rsidR="005D27AF" w:rsidRPr="00A51547">
        <w:t>77</w:t>
      </w:r>
      <w:r w:rsidR="005279F5" w:rsidRPr="00A51547">
        <w:t xml:space="preserve"> mila, +37</w:t>
      </w:r>
      <w:r w:rsidR="005D27AF" w:rsidRPr="00A51547">
        <w:t>8</w:t>
      </w:r>
      <w:r w:rsidR="005279F5" w:rsidRPr="00A51547">
        <w:t xml:space="preserve"> mila </w:t>
      </w:r>
      <w:r w:rsidR="00EC1CD1" w:rsidRPr="00A51547">
        <w:t xml:space="preserve">rispettivamente nel </w:t>
      </w:r>
      <w:r w:rsidR="005D27AF" w:rsidRPr="00A51547">
        <w:t xml:space="preserve">quarto, </w:t>
      </w:r>
      <w:r w:rsidR="00EC1CD1" w:rsidRPr="00A51547">
        <w:t>terzo</w:t>
      </w:r>
      <w:r w:rsidR="005D27AF" w:rsidRPr="00A51547">
        <w:t xml:space="preserve"> e s</w:t>
      </w:r>
      <w:r w:rsidR="00EC1CD1" w:rsidRPr="00A51547">
        <w:t>econdo trimestre</w:t>
      </w:r>
      <w:r w:rsidR="005D27AF" w:rsidRPr="00A51547">
        <w:t xml:space="preserve"> 2018</w:t>
      </w:r>
      <w:r w:rsidR="005279F5" w:rsidRPr="00A51547">
        <w:t xml:space="preserve">). Tale </w:t>
      </w:r>
      <w:r w:rsidR="00E82B5E" w:rsidRPr="00A51547">
        <w:t>andamento</w:t>
      </w:r>
      <w:r w:rsidR="005279F5" w:rsidRPr="00A51547">
        <w:t xml:space="preserve"> </w:t>
      </w:r>
      <w:r w:rsidR="00705B76" w:rsidRPr="00A51547">
        <w:t xml:space="preserve">si </w:t>
      </w:r>
      <w:r w:rsidR="00311775">
        <w:t>accentua</w:t>
      </w:r>
      <w:r w:rsidR="005279F5" w:rsidRPr="00A51547">
        <w:t xml:space="preserve"> </w:t>
      </w:r>
      <w:r w:rsidR="00705B76" w:rsidRPr="00A51547">
        <w:t xml:space="preserve">nei </w:t>
      </w:r>
      <w:r w:rsidR="005279F5" w:rsidRPr="00A51547">
        <w:t>dati Inps</w:t>
      </w:r>
      <w:r w:rsidR="00EC1CD1" w:rsidRPr="00A51547">
        <w:t>-Uniemens</w:t>
      </w:r>
      <w:r w:rsidR="005279F5" w:rsidRPr="00A51547">
        <w:t xml:space="preserve"> (</w:t>
      </w:r>
      <w:r w:rsidR="007F072B" w:rsidRPr="00A51547">
        <w:t>-99</w:t>
      </w:r>
      <w:r w:rsidR="005279F5" w:rsidRPr="00A51547">
        <w:t xml:space="preserve"> mila nel </w:t>
      </w:r>
      <w:r w:rsidR="007F072B" w:rsidRPr="00A51547">
        <w:t xml:space="preserve">primo </w:t>
      </w:r>
      <w:r w:rsidR="005279F5" w:rsidRPr="00A51547">
        <w:t>trimestre 201</w:t>
      </w:r>
      <w:r w:rsidR="005D27AF" w:rsidRPr="00A51547">
        <w:t>9</w:t>
      </w:r>
      <w:r w:rsidR="005279F5" w:rsidRPr="00A51547">
        <w:t xml:space="preserve"> rispetto a +</w:t>
      </w:r>
      <w:r w:rsidR="008B200F" w:rsidRPr="00A51547">
        <w:t>117</w:t>
      </w:r>
      <w:r w:rsidR="005279F5" w:rsidRPr="00A51547">
        <w:t xml:space="preserve"> mila, +</w:t>
      </w:r>
      <w:r w:rsidR="008B200F" w:rsidRPr="00A51547">
        <w:t>247</w:t>
      </w:r>
      <w:r w:rsidR="005279F5" w:rsidRPr="00A51547">
        <w:t xml:space="preserve"> mila e +</w:t>
      </w:r>
      <w:r w:rsidR="008B200F" w:rsidRPr="00A51547">
        <w:t>376</w:t>
      </w:r>
      <w:r w:rsidR="005279F5" w:rsidRPr="00A51547">
        <w:t xml:space="preserve"> mila) che comprendono anche il lavoro in somministrazione e a chiamata. Le </w:t>
      </w:r>
      <w:r w:rsidR="005279F5" w:rsidRPr="00A51547">
        <w:rPr>
          <w:b/>
        </w:rPr>
        <w:t>posizioni lavorative a tempo indeterminato</w:t>
      </w:r>
      <w:r w:rsidR="005279F5" w:rsidRPr="00A51547">
        <w:t xml:space="preserve"> </w:t>
      </w:r>
      <w:r w:rsidR="005279F5" w:rsidRPr="00A51547">
        <w:rPr>
          <w:b/>
        </w:rPr>
        <w:t xml:space="preserve">presentano un </w:t>
      </w:r>
      <w:r w:rsidR="00E82B5E" w:rsidRPr="00A51547">
        <w:rPr>
          <w:b/>
        </w:rPr>
        <w:t>aumento</w:t>
      </w:r>
      <w:r w:rsidR="005279F5" w:rsidRPr="00A51547">
        <w:t xml:space="preserve"> nei dati delle CO (+</w:t>
      </w:r>
      <w:r w:rsidR="003459E0" w:rsidRPr="00A51547">
        <w:t>401</w:t>
      </w:r>
      <w:r w:rsidR="005279F5" w:rsidRPr="00A51547">
        <w:t xml:space="preserve"> mila) in accelerazione rispetto ai tre trimestri precedent</w:t>
      </w:r>
      <w:r w:rsidR="00E82B5E" w:rsidRPr="00A51547">
        <w:t>i</w:t>
      </w:r>
      <w:r w:rsidR="005279F5" w:rsidRPr="00A51547">
        <w:t xml:space="preserve"> </w:t>
      </w:r>
      <w:r w:rsidR="00AC2E33">
        <w:br/>
      </w:r>
      <w:r w:rsidR="005279F5" w:rsidRPr="00A51547">
        <w:t>(+</w:t>
      </w:r>
      <w:r w:rsidR="005D27AF" w:rsidRPr="00A51547">
        <w:t>230</w:t>
      </w:r>
      <w:r w:rsidR="008C769D" w:rsidRPr="00A51547">
        <w:t xml:space="preserve"> mila, +</w:t>
      </w:r>
      <w:r w:rsidR="005D27AF" w:rsidRPr="00A51547">
        <w:t>124</w:t>
      </w:r>
      <w:r w:rsidR="008C769D" w:rsidRPr="00A51547">
        <w:t xml:space="preserve"> mila e +</w:t>
      </w:r>
      <w:r w:rsidR="005D27AF" w:rsidRPr="00A51547">
        <w:t>74</w:t>
      </w:r>
      <w:r w:rsidR="008C769D" w:rsidRPr="00A51547">
        <w:t xml:space="preserve"> mila); del tutto analogo l’andamento registrato dai </w:t>
      </w:r>
      <w:r w:rsidR="005279F5" w:rsidRPr="00A51547">
        <w:t xml:space="preserve">dati Inps </w:t>
      </w:r>
      <w:r w:rsidR="00BE5273" w:rsidRPr="00684674">
        <w:t xml:space="preserve">(+450 mila) in confronto ai tre trimestri precedenti (+297 mila, +158 mila e </w:t>
      </w:r>
      <w:r w:rsidR="004F4F3A">
        <w:t>+</w:t>
      </w:r>
      <w:r w:rsidR="00BE5273" w:rsidRPr="00684674">
        <w:t>67 mila).</w:t>
      </w:r>
    </w:p>
    <w:p w14:paraId="191293DD" w14:textId="157B647C" w:rsidR="004176C3" w:rsidRPr="00A51547" w:rsidRDefault="004176C3" w:rsidP="00315DE7">
      <w:pPr>
        <w:pStyle w:val="elenco"/>
        <w:tabs>
          <w:tab w:val="clear" w:pos="720"/>
          <w:tab w:val="num" w:pos="426"/>
        </w:tabs>
        <w:ind w:left="426" w:right="282" w:hanging="426"/>
      </w:pPr>
      <w:r w:rsidRPr="00A51547">
        <w:t>Secondo i dati Istat</w:t>
      </w:r>
      <w:r w:rsidR="00210D01" w:rsidRPr="00A51547">
        <w:t xml:space="preserve"> </w:t>
      </w:r>
      <w:r w:rsidR="007E3B13" w:rsidRPr="00A51547">
        <w:t xml:space="preserve">della Rilevazione </w:t>
      </w:r>
      <w:r w:rsidR="00210D01" w:rsidRPr="00A51547">
        <w:t>sulle forze di lavoro</w:t>
      </w:r>
      <w:r w:rsidRPr="00A51547">
        <w:t xml:space="preserve"> </w:t>
      </w:r>
      <w:r w:rsidR="00CB0E23" w:rsidRPr="00A51547">
        <w:t>prosegue</w:t>
      </w:r>
      <w:r w:rsidRPr="00A51547">
        <w:t xml:space="preserve"> </w:t>
      </w:r>
      <w:r w:rsidR="0050166A" w:rsidRPr="00A51547">
        <w:t>l’</w:t>
      </w:r>
      <w:r w:rsidRPr="00A51547">
        <w:rPr>
          <w:b/>
        </w:rPr>
        <w:t xml:space="preserve">aumento tendenziale dell’occupazione </w:t>
      </w:r>
      <w:r w:rsidRPr="00A51547">
        <w:t>(+</w:t>
      </w:r>
      <w:r w:rsidR="00533071" w:rsidRPr="00A51547">
        <w:t>144</w:t>
      </w:r>
      <w:r w:rsidRPr="00A51547">
        <w:t xml:space="preserve"> mila</w:t>
      </w:r>
      <w:r w:rsidR="008D08D1" w:rsidRPr="00A51547">
        <w:t xml:space="preserve"> unità</w:t>
      </w:r>
      <w:r w:rsidR="005325D5" w:rsidRPr="00A51547">
        <w:t>; Tavola 4</w:t>
      </w:r>
      <w:r w:rsidRPr="00A51547">
        <w:t xml:space="preserve">) </w:t>
      </w:r>
      <w:r w:rsidR="002549AD" w:rsidRPr="00A51547">
        <w:t>a cui si associa</w:t>
      </w:r>
      <w:r w:rsidRPr="00A51547">
        <w:t xml:space="preserve"> </w:t>
      </w:r>
      <w:r w:rsidR="008145BA" w:rsidRPr="00A51547">
        <w:t xml:space="preserve">una </w:t>
      </w:r>
      <w:r w:rsidRPr="00A51547">
        <w:rPr>
          <w:b/>
        </w:rPr>
        <w:t>diminuzione delle persone in cerca di lavoro</w:t>
      </w:r>
      <w:r w:rsidRPr="00A51547">
        <w:t xml:space="preserve"> (-</w:t>
      </w:r>
      <w:r w:rsidR="006F3FD4" w:rsidRPr="00A51547">
        <w:t>1</w:t>
      </w:r>
      <w:r w:rsidR="00533071" w:rsidRPr="00A51547">
        <w:t>38</w:t>
      </w:r>
      <w:r w:rsidRPr="00A51547">
        <w:t xml:space="preserve"> mila) </w:t>
      </w:r>
      <w:r w:rsidR="008453DE" w:rsidRPr="00A51547">
        <w:rPr>
          <w:b/>
        </w:rPr>
        <w:t>e</w:t>
      </w:r>
      <w:r w:rsidR="00D46144" w:rsidRPr="00A51547">
        <w:rPr>
          <w:b/>
        </w:rPr>
        <w:t xml:space="preserve"> degli</w:t>
      </w:r>
      <w:r w:rsidRPr="00A51547">
        <w:rPr>
          <w:b/>
        </w:rPr>
        <w:t xml:space="preserve"> inattivi</w:t>
      </w:r>
      <w:r w:rsidRPr="00A51547">
        <w:t xml:space="preserve"> (</w:t>
      </w:r>
      <w:r w:rsidR="006F3FD4" w:rsidRPr="00A51547">
        <w:t>-1</w:t>
      </w:r>
      <w:r w:rsidR="00533071" w:rsidRPr="00A51547">
        <w:t>3</w:t>
      </w:r>
      <w:r w:rsidR="006F3FD4" w:rsidRPr="00A51547">
        <w:t>0</w:t>
      </w:r>
      <w:r w:rsidRPr="00A51547">
        <w:t xml:space="preserve"> mila). </w:t>
      </w:r>
      <w:r w:rsidR="00EC3E80" w:rsidRPr="00A51547">
        <w:t>T</w:t>
      </w:r>
      <w:r w:rsidR="00CB0E23" w:rsidRPr="00A51547">
        <w:t>ra</w:t>
      </w:r>
      <w:r w:rsidR="006B19AF" w:rsidRPr="00A51547">
        <w:t xml:space="preserve"> i giovani di 15-34 anni </w:t>
      </w:r>
      <w:r w:rsidR="002549AD" w:rsidRPr="00A51547">
        <w:t>torna</w:t>
      </w:r>
      <w:r w:rsidR="00533071" w:rsidRPr="00A51547">
        <w:t>no</w:t>
      </w:r>
      <w:r w:rsidR="002549AD" w:rsidRPr="00A51547">
        <w:t xml:space="preserve"> a </w:t>
      </w:r>
      <w:r w:rsidR="00533071" w:rsidRPr="00A51547">
        <w:t>crescere, in termini sia congiunturali sia tendenziali,</w:t>
      </w:r>
      <w:r w:rsidR="009C782F" w:rsidRPr="00A51547">
        <w:t xml:space="preserve"> l’occupazione</w:t>
      </w:r>
      <w:r w:rsidR="002549AD" w:rsidRPr="00A51547">
        <w:t xml:space="preserve"> </w:t>
      </w:r>
      <w:r w:rsidR="009C782F" w:rsidRPr="00A51547">
        <w:t xml:space="preserve">e il relativo tasso. </w:t>
      </w:r>
      <w:r w:rsidR="00533071" w:rsidRPr="00A51547">
        <w:t>Rimane s</w:t>
      </w:r>
      <w:r w:rsidRPr="00A51547">
        <w:t>ignificativo l’impatto dell’invecchiamento della popolazione</w:t>
      </w:r>
      <w:r w:rsidR="000D1AFC" w:rsidRPr="00A51547">
        <w:t>,</w:t>
      </w:r>
      <w:r w:rsidRPr="00A51547">
        <w:t xml:space="preserve"> che contribuisce a spiegare la crescita del numero degli occupati ultracinquantenni</w:t>
      </w:r>
      <w:r w:rsidR="009C782F" w:rsidRPr="00A51547">
        <w:t xml:space="preserve"> (Figura 4)</w:t>
      </w:r>
      <w:r w:rsidR="00206B45" w:rsidRPr="00A51547">
        <w:t>,</w:t>
      </w:r>
      <w:r w:rsidRPr="00A51547">
        <w:t xml:space="preserve"> indotta anche dall’allungamento dell’età pensionabile.</w:t>
      </w:r>
      <w:r w:rsidR="009F7056" w:rsidRPr="00A51547">
        <w:t xml:space="preserve"> </w:t>
      </w:r>
    </w:p>
    <w:p w14:paraId="481189EA" w14:textId="487019FE" w:rsidR="00E72D1C" w:rsidRPr="00A51547" w:rsidRDefault="008B200F" w:rsidP="00E72D1C">
      <w:pPr>
        <w:pStyle w:val="elenco"/>
        <w:tabs>
          <w:tab w:val="clear" w:pos="720"/>
          <w:tab w:val="num" w:pos="426"/>
        </w:tabs>
        <w:ind w:left="426" w:hanging="426"/>
      </w:pPr>
      <w:r w:rsidRPr="00A51547">
        <w:t xml:space="preserve">Dopo </w:t>
      </w:r>
      <w:r w:rsidR="008E159F">
        <w:t>quasi sei anni</w:t>
      </w:r>
      <w:r w:rsidRPr="00A51547">
        <w:t xml:space="preserve"> di </w:t>
      </w:r>
      <w:r w:rsidR="008E159F">
        <w:t xml:space="preserve">continua </w:t>
      </w:r>
      <w:r w:rsidRPr="00A51547">
        <w:t xml:space="preserve">crescita e aver raggiunto nel </w:t>
      </w:r>
      <w:r w:rsidR="00EB1DE3">
        <w:t xml:space="preserve">terzo </w:t>
      </w:r>
      <w:r w:rsidRPr="00A51547">
        <w:t>trimestre 201</w:t>
      </w:r>
      <w:r w:rsidR="00EB1DE3">
        <w:t>8</w:t>
      </w:r>
      <w:r w:rsidRPr="00A51547">
        <w:t xml:space="preserve"> la massima espansione (4</w:t>
      </w:r>
      <w:r w:rsidR="00EB1DE3">
        <w:t>18</w:t>
      </w:r>
      <w:r w:rsidRPr="00A51547">
        <w:t xml:space="preserve"> mila unità</w:t>
      </w:r>
      <w:r w:rsidR="00E72D1C" w:rsidRPr="00A51547">
        <w:t>; Figure 5 e 6</w:t>
      </w:r>
      <w:r w:rsidRPr="00A51547">
        <w:t>)</w:t>
      </w:r>
      <w:r w:rsidR="002E1247">
        <w:t>,</w:t>
      </w:r>
      <w:r w:rsidRPr="00A51547">
        <w:t xml:space="preserve"> </w:t>
      </w:r>
      <w:r w:rsidRPr="00A51547">
        <w:rPr>
          <w:b/>
        </w:rPr>
        <w:t>il numero dei lavoratori in somministrazione</w:t>
      </w:r>
      <w:r w:rsidRPr="00A51547">
        <w:t xml:space="preserve"> nel primo trimestre 2019 </w:t>
      </w:r>
      <w:r w:rsidRPr="00A51547">
        <w:rPr>
          <w:b/>
        </w:rPr>
        <w:t>subisce una significativa riduzione tendenziale</w:t>
      </w:r>
      <w:r w:rsidRPr="00A51547">
        <w:t xml:space="preserve"> (-20 mila unità corrispondenti a </w:t>
      </w:r>
      <w:r w:rsidR="0072313D">
        <w:br/>
      </w:r>
      <w:r w:rsidRPr="00A51547">
        <w:t>-5,1%</w:t>
      </w:r>
      <w:r w:rsidR="002E1247">
        <w:t xml:space="preserve"> nei</w:t>
      </w:r>
      <w:r w:rsidR="002E1247" w:rsidRPr="00A51547">
        <w:t xml:space="preserve"> dati Inps-Uniemens</w:t>
      </w:r>
      <w:r w:rsidRPr="00A51547">
        <w:t xml:space="preserve">). </w:t>
      </w:r>
    </w:p>
    <w:p w14:paraId="0D4735AF" w14:textId="13F73DF4" w:rsidR="00E72D1C" w:rsidRPr="00A51547" w:rsidRDefault="00E72D1C" w:rsidP="00E72D1C">
      <w:pPr>
        <w:pStyle w:val="elenco"/>
        <w:tabs>
          <w:tab w:val="clear" w:pos="720"/>
          <w:tab w:val="num" w:pos="426"/>
        </w:tabs>
        <w:ind w:left="426" w:hanging="426"/>
      </w:pPr>
      <w:r w:rsidRPr="00723EA2">
        <w:t xml:space="preserve">Nel primo trimestre 2019 </w:t>
      </w:r>
      <w:r w:rsidRPr="00723EA2">
        <w:rPr>
          <w:b/>
        </w:rPr>
        <w:t xml:space="preserve">prosegue l’aumento tendenziale </w:t>
      </w:r>
      <w:r w:rsidRPr="00723EA2">
        <w:t xml:space="preserve">del numero </w:t>
      </w:r>
      <w:r w:rsidRPr="00723EA2">
        <w:rPr>
          <w:b/>
        </w:rPr>
        <w:t>dei lavoratori a chiamata o intermittenti</w:t>
      </w:r>
      <w:r w:rsidRPr="00723EA2">
        <w:t xml:space="preserve"> sulla base dei dati Inps-Uniemens (+15 mila unità rispetto all’analogo trimestre del 2018; Figura 5), anche se rallenta ulteriormente il tasso di crescita (+7,3% nel primo trimestre 2019 rispetto al +8,3%, al +8,8% e il +15,9% rispettivamente nel quarto, terzo e secondo</w:t>
      </w:r>
      <w:r w:rsidR="00723EA2" w:rsidRPr="00723EA2">
        <w:t xml:space="preserve"> 2018</w:t>
      </w:r>
      <w:r w:rsidRPr="00723EA2">
        <w:t>; Figura</w:t>
      </w:r>
      <w:r w:rsidRPr="00A51547">
        <w:t xml:space="preserve"> 6). </w:t>
      </w:r>
      <w:r w:rsidR="002E1247">
        <w:t xml:space="preserve"> </w:t>
      </w:r>
    </w:p>
    <w:p w14:paraId="3E7BA5E1" w14:textId="0F5E97D4" w:rsidR="00DA3F86" w:rsidRPr="00A51547" w:rsidRDefault="004F5277" w:rsidP="00072B2A">
      <w:pPr>
        <w:pStyle w:val="elenco"/>
        <w:tabs>
          <w:tab w:val="clear" w:pos="720"/>
          <w:tab w:val="num" w:pos="426"/>
        </w:tabs>
        <w:ind w:left="426" w:hanging="426"/>
      </w:pPr>
      <w:r w:rsidRPr="00A51547">
        <w:t xml:space="preserve">Il numero dei lavoratori impiegati con il </w:t>
      </w:r>
      <w:r w:rsidRPr="00072B2A">
        <w:rPr>
          <w:b/>
        </w:rPr>
        <w:t>Contratto di Prestazione Occasionale</w:t>
      </w:r>
      <w:r w:rsidRPr="00A51547">
        <w:t xml:space="preserve"> e quelli pagati con i titoli del </w:t>
      </w:r>
      <w:r w:rsidRPr="00072B2A">
        <w:rPr>
          <w:b/>
        </w:rPr>
        <w:t>Libretto Famiglia</w:t>
      </w:r>
      <w:r w:rsidRPr="00A51547">
        <w:t xml:space="preserve"> </w:t>
      </w:r>
      <w:r w:rsidR="00B2757A">
        <w:t xml:space="preserve">– </w:t>
      </w:r>
      <w:r w:rsidRPr="00A51547">
        <w:t xml:space="preserve">le due nuove forme contrattuali di lavoro occasionale introdotte operativamente da luglio 2017 in sostituzione </w:t>
      </w:r>
      <w:r w:rsidR="00B2757A">
        <w:t>del lavoro accessorio (voucher) –</w:t>
      </w:r>
      <w:r w:rsidRPr="00A51547">
        <w:t xml:space="preserve"> </w:t>
      </w:r>
      <w:r w:rsidR="00B2757A" w:rsidRPr="00A51547">
        <w:t>nel primo trimestre 2019</w:t>
      </w:r>
      <w:r w:rsidR="00311775">
        <w:t>,</w:t>
      </w:r>
      <w:r w:rsidR="00B2757A">
        <w:t xml:space="preserve"> </w:t>
      </w:r>
      <w:r w:rsidR="006308AA" w:rsidRPr="00B2757A">
        <w:t>in termini di valori medi mensili</w:t>
      </w:r>
      <w:r w:rsidR="00311775">
        <w:t>,</w:t>
      </w:r>
      <w:r w:rsidR="006308AA" w:rsidRPr="00A51547">
        <w:t xml:space="preserve"> </w:t>
      </w:r>
      <w:r w:rsidRPr="00A51547">
        <w:t xml:space="preserve">hanno raggiunto rispettivamente le </w:t>
      </w:r>
      <w:r w:rsidR="009B3B4F" w:rsidRPr="00A51547">
        <w:t>19</w:t>
      </w:r>
      <w:r w:rsidRPr="00A51547">
        <w:t xml:space="preserve"> mila e le </w:t>
      </w:r>
      <w:r w:rsidR="009B3B4F" w:rsidRPr="00A51547">
        <w:t>10</w:t>
      </w:r>
      <w:r w:rsidRPr="00A51547">
        <w:t xml:space="preserve"> mila </w:t>
      </w:r>
      <w:r w:rsidR="00D04FC2" w:rsidRPr="00A51547">
        <w:t>unità</w:t>
      </w:r>
      <w:r w:rsidRPr="00A51547">
        <w:t xml:space="preserve">. </w:t>
      </w:r>
    </w:p>
    <w:p w14:paraId="2591D59B" w14:textId="195C6F35" w:rsidR="00833B86" w:rsidRPr="00A51547" w:rsidRDefault="00833B86" w:rsidP="00833B86">
      <w:pPr>
        <w:pStyle w:val="elenco"/>
        <w:tabs>
          <w:tab w:val="clear" w:pos="720"/>
          <w:tab w:val="num" w:pos="426"/>
        </w:tabs>
        <w:ind w:left="426" w:hanging="426"/>
      </w:pPr>
      <w:r w:rsidRPr="00A51547">
        <w:t xml:space="preserve">Gli </w:t>
      </w:r>
      <w:r w:rsidRPr="00A51547">
        <w:rPr>
          <w:b/>
        </w:rPr>
        <w:t>infortuni sul lavoro</w:t>
      </w:r>
      <w:r w:rsidRPr="00A51547">
        <w:t xml:space="preserve"> accaduti e denunciati all'Inail nel primo trimestre del 2019 sono stati </w:t>
      </w:r>
      <w:r w:rsidR="00AC2E33">
        <w:br/>
      </w:r>
      <w:r w:rsidRPr="00A51547">
        <w:t>131 mila (109 mila in occasione di lavoro e 22 mila in itinere), in aumento del</w:t>
      </w:r>
      <w:r w:rsidR="00EC21CE" w:rsidRPr="00A51547">
        <w:t>l’</w:t>
      </w:r>
      <w:r w:rsidRPr="00A51547">
        <w:t>1,7% (+2</w:t>
      </w:r>
      <w:r w:rsidR="00C550AE">
        <w:t xml:space="preserve"> mila</w:t>
      </w:r>
      <w:r w:rsidRPr="00A51547">
        <w:t xml:space="preserve"> denunce) rispetto al primo trimestre del 2018 (Tavola 1). Gli infortuni sul lavoro con esito mortale accaduti e denunciati all'Inail nel primo trimestre del 2019 sono stati 212 (144 in occasione di lavoro e 68 in itinere)</w:t>
      </w:r>
      <w:r w:rsidR="00A51547" w:rsidRPr="00A51547">
        <w:t xml:space="preserve">, lo stesso numero </w:t>
      </w:r>
      <w:r w:rsidRPr="00A51547">
        <w:t xml:space="preserve">del primo trimestre del 2018 (Tavola 1). </w:t>
      </w:r>
    </w:p>
    <w:p w14:paraId="0105846F" w14:textId="77777777" w:rsidR="00833B86" w:rsidRPr="00A51547" w:rsidRDefault="00833B86" w:rsidP="00EC21CE">
      <w:pPr>
        <w:pStyle w:val="elenco"/>
        <w:tabs>
          <w:tab w:val="clear" w:pos="720"/>
          <w:tab w:val="num" w:pos="426"/>
        </w:tabs>
        <w:ind w:left="426" w:hanging="426"/>
      </w:pPr>
      <w:r w:rsidRPr="00A51547">
        <w:t xml:space="preserve">Le </w:t>
      </w:r>
      <w:r w:rsidRPr="00A51547">
        <w:rPr>
          <w:b/>
        </w:rPr>
        <w:t>malattie professionali</w:t>
      </w:r>
      <w:r w:rsidRPr="00A51547">
        <w:t xml:space="preserve"> denunciate all'Inail e protocollate nel primo trimestre del 2019 sono state 15.900, in diminuzione (-1,4%, 224 casi in meno) rispetto all'analogo trimestre dell'anno precedente (Tavola 1).</w:t>
      </w:r>
    </w:p>
    <w:p w14:paraId="2719C8D9" w14:textId="1D79E247" w:rsidR="00B70CA5" w:rsidRPr="00A51547" w:rsidRDefault="00B70CA5" w:rsidP="00C74BB3">
      <w:pPr>
        <w:pStyle w:val="elenco"/>
        <w:numPr>
          <w:ilvl w:val="0"/>
          <w:numId w:val="0"/>
        </w:numPr>
        <w:spacing w:after="0"/>
      </w:pPr>
    </w:p>
    <w:p w14:paraId="4EA1B7D4" w14:textId="77777777" w:rsidR="00193C37" w:rsidRPr="00A51547" w:rsidRDefault="00193C37" w:rsidP="007A2049">
      <w:pPr>
        <w:jc w:val="left"/>
        <w:rPr>
          <w:rFonts w:ascii="Arial Narrow" w:hAnsi="Arial Narrow" w:cs="Arial"/>
          <w:b/>
          <w:color w:val="17365D"/>
          <w:kern w:val="28"/>
        </w:rPr>
      </w:pPr>
    </w:p>
    <w:p w14:paraId="2D161CDA" w14:textId="77777777" w:rsidR="00193C37" w:rsidRPr="00A51547" w:rsidRDefault="00193C37" w:rsidP="007A2049">
      <w:pPr>
        <w:jc w:val="left"/>
        <w:rPr>
          <w:rFonts w:ascii="Arial Narrow" w:hAnsi="Arial Narrow" w:cs="Arial"/>
          <w:b/>
          <w:color w:val="17365D"/>
          <w:kern w:val="28"/>
        </w:rPr>
      </w:pPr>
    </w:p>
    <w:p w14:paraId="0C75C3C6" w14:textId="1FD0481A" w:rsidR="004176C3" w:rsidRPr="00A51547" w:rsidRDefault="004176C3" w:rsidP="007A2049">
      <w:pPr>
        <w:jc w:val="left"/>
        <w:rPr>
          <w:rFonts w:ascii="Arial Narrow" w:hAnsi="Arial Narrow" w:cs="Arial"/>
          <w:kern w:val="28"/>
          <w:sz w:val="19"/>
          <w:szCs w:val="19"/>
        </w:rPr>
      </w:pPr>
      <w:r w:rsidRPr="00A51547">
        <w:rPr>
          <w:rFonts w:ascii="Arial Narrow" w:hAnsi="Arial Narrow" w:cs="Arial"/>
          <w:b/>
          <w:color w:val="17365D"/>
          <w:kern w:val="28"/>
        </w:rPr>
        <w:t>TAVOLA 1. PRINCIPALI INDICATORI DI STOCK DEL MERCATO DEL LAVORO ITALIANO</w:t>
      </w:r>
      <w:r w:rsidR="00214418" w:rsidRPr="00A51547">
        <w:rPr>
          <w:rFonts w:ascii="Arial Narrow" w:hAnsi="Arial Narrow" w:cs="Arial"/>
          <w:b/>
          <w:color w:val="17365D"/>
          <w:kern w:val="28"/>
        </w:rPr>
        <w:t xml:space="preserve"> (a)</w:t>
      </w:r>
      <w:r w:rsidRPr="00A51547">
        <w:rPr>
          <w:rFonts w:ascii="Arial Narrow" w:hAnsi="Arial Narrow" w:cs="Arial"/>
          <w:b/>
          <w:color w:val="17365D"/>
          <w:kern w:val="28"/>
        </w:rPr>
        <w:br/>
      </w:r>
      <w:r w:rsidRPr="00A51547">
        <w:rPr>
          <w:rFonts w:ascii="Arial Narrow" w:hAnsi="Arial Narrow" w:cs="Arial"/>
          <w:kern w:val="28"/>
          <w:sz w:val="19"/>
          <w:szCs w:val="19"/>
        </w:rPr>
        <w:t>I trimestre 201</w:t>
      </w:r>
      <w:r w:rsidR="005B0772" w:rsidRPr="00A51547">
        <w:rPr>
          <w:rFonts w:ascii="Arial Narrow" w:hAnsi="Arial Narrow" w:cs="Arial"/>
          <w:kern w:val="28"/>
          <w:sz w:val="19"/>
          <w:szCs w:val="19"/>
        </w:rPr>
        <w:t>9</w:t>
      </w:r>
      <w:r w:rsidRPr="00A51547">
        <w:rPr>
          <w:rFonts w:ascii="Arial Narrow" w:hAnsi="Arial Narrow" w:cs="Arial"/>
          <w:kern w:val="28"/>
          <w:sz w:val="19"/>
          <w:szCs w:val="19"/>
        </w:rPr>
        <w:t>, valori e variazioni assolute in migliaia e variazioni percentuali</w:t>
      </w:r>
    </w:p>
    <w:tbl>
      <w:tblPr>
        <w:tblW w:w="9654"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A0" w:firstRow="1" w:lastRow="0" w:firstColumn="1" w:lastColumn="0" w:noHBand="0" w:noVBand="0"/>
      </w:tblPr>
      <w:tblGrid>
        <w:gridCol w:w="5763"/>
        <w:gridCol w:w="1017"/>
        <w:gridCol w:w="733"/>
        <w:gridCol w:w="866"/>
        <w:gridCol w:w="54"/>
        <w:gridCol w:w="733"/>
        <w:gridCol w:w="488"/>
      </w:tblGrid>
      <w:tr w:rsidR="00B70CA5" w:rsidRPr="00A51547" w14:paraId="25C4F83F" w14:textId="77777777" w:rsidTr="00B70CA5">
        <w:trPr>
          <w:trHeight w:val="255"/>
        </w:trPr>
        <w:tc>
          <w:tcPr>
            <w:tcW w:w="5763" w:type="dxa"/>
            <w:vMerge w:val="restart"/>
            <w:noWrap/>
            <w:vAlign w:val="center"/>
          </w:tcPr>
          <w:p w14:paraId="7B35D7DF" w14:textId="033FA81E" w:rsidR="00B70CA5" w:rsidRPr="00A51547" w:rsidRDefault="00B70CA5" w:rsidP="00D160DA">
            <w:pPr>
              <w:spacing w:before="40" w:after="20"/>
              <w:jc w:val="right"/>
              <w:rPr>
                <w:rFonts w:ascii="Arial Narrow" w:hAnsi="Arial Narrow" w:cs="Arial"/>
                <w:b/>
                <w:bCs/>
                <w:sz w:val="17"/>
                <w:szCs w:val="17"/>
                <w:lang w:eastAsia="it-IT"/>
              </w:rPr>
            </w:pPr>
          </w:p>
        </w:tc>
        <w:tc>
          <w:tcPr>
            <w:tcW w:w="2616" w:type="dxa"/>
            <w:gridSpan w:val="3"/>
            <w:shd w:val="clear" w:color="auto" w:fill="F2F2F2" w:themeFill="background1" w:themeFillShade="F2"/>
            <w:noWrap/>
            <w:vAlign w:val="center"/>
          </w:tcPr>
          <w:p w14:paraId="43287112" w14:textId="770AA3DB" w:rsidR="00B70CA5" w:rsidRPr="00A51547" w:rsidRDefault="00B70CA5" w:rsidP="00D160DA">
            <w:pPr>
              <w:spacing w:before="40" w:after="20"/>
              <w:jc w:val="center"/>
              <w:rPr>
                <w:rFonts w:ascii="Arial Narrow" w:hAnsi="Arial Narrow" w:cs="Arial"/>
                <w:b/>
                <w:bCs/>
                <w:sz w:val="17"/>
                <w:szCs w:val="17"/>
                <w:lang w:eastAsia="it-IT"/>
              </w:rPr>
            </w:pPr>
            <w:r w:rsidRPr="00A51547">
              <w:rPr>
                <w:rFonts w:ascii="Arial Narrow" w:hAnsi="Arial Narrow" w:cs="Arial"/>
                <w:b/>
                <w:bCs/>
                <w:caps/>
                <w:sz w:val="17"/>
                <w:szCs w:val="17"/>
                <w:lang w:eastAsia="it-IT"/>
              </w:rPr>
              <w:t>Dati destagionalizzati</w:t>
            </w:r>
          </w:p>
        </w:tc>
        <w:tc>
          <w:tcPr>
            <w:tcW w:w="1275" w:type="dxa"/>
            <w:gridSpan w:val="3"/>
            <w:noWrap/>
            <w:vAlign w:val="center"/>
          </w:tcPr>
          <w:p w14:paraId="0186A718" w14:textId="77777777" w:rsidR="00B70CA5" w:rsidRPr="00A51547" w:rsidRDefault="00B70CA5" w:rsidP="00D160DA">
            <w:pPr>
              <w:spacing w:before="40" w:after="20"/>
              <w:jc w:val="center"/>
              <w:rPr>
                <w:rFonts w:ascii="Arial Narrow" w:hAnsi="Arial Narrow" w:cs="Arial"/>
                <w:b/>
                <w:bCs/>
                <w:caps/>
                <w:sz w:val="17"/>
                <w:szCs w:val="17"/>
                <w:lang w:eastAsia="it-IT"/>
              </w:rPr>
            </w:pPr>
            <w:r w:rsidRPr="00A51547">
              <w:rPr>
                <w:rFonts w:ascii="Arial Narrow" w:hAnsi="Arial Narrow" w:cs="Arial"/>
                <w:b/>
                <w:bCs/>
                <w:caps/>
                <w:sz w:val="17"/>
                <w:szCs w:val="17"/>
                <w:lang w:eastAsia="it-IT"/>
              </w:rPr>
              <w:t>Dati grezzi</w:t>
            </w:r>
          </w:p>
        </w:tc>
      </w:tr>
      <w:tr w:rsidR="00B70CA5" w:rsidRPr="00A51547" w14:paraId="27523C7D" w14:textId="77777777" w:rsidTr="00B70CA5">
        <w:trPr>
          <w:trHeight w:val="255"/>
        </w:trPr>
        <w:tc>
          <w:tcPr>
            <w:tcW w:w="5763" w:type="dxa"/>
            <w:vMerge/>
            <w:shd w:val="clear" w:color="000000" w:fill="FFFFFF"/>
            <w:noWrap/>
            <w:vAlign w:val="center"/>
          </w:tcPr>
          <w:p w14:paraId="10744908" w14:textId="77777777" w:rsidR="00B70CA5" w:rsidRPr="00A51547" w:rsidRDefault="00B70CA5" w:rsidP="00D160DA">
            <w:pPr>
              <w:spacing w:before="40" w:after="20"/>
              <w:jc w:val="right"/>
              <w:rPr>
                <w:rFonts w:ascii="Arial Narrow" w:hAnsi="Arial Narrow"/>
                <w:sz w:val="17"/>
                <w:szCs w:val="17"/>
                <w:lang w:eastAsia="it-IT"/>
              </w:rPr>
            </w:pPr>
          </w:p>
        </w:tc>
        <w:tc>
          <w:tcPr>
            <w:tcW w:w="1017" w:type="dxa"/>
            <w:vAlign w:val="center"/>
          </w:tcPr>
          <w:p w14:paraId="5822631A" w14:textId="77777777" w:rsidR="00B70CA5" w:rsidRPr="00A51547" w:rsidRDefault="00B70CA5" w:rsidP="00AC2E33">
            <w:pPr>
              <w:spacing w:after="0"/>
              <w:jc w:val="center"/>
              <w:rPr>
                <w:rFonts w:ascii="Arial Narrow" w:hAnsi="Arial Narrow"/>
                <w:b/>
                <w:bCs/>
                <w:sz w:val="17"/>
                <w:szCs w:val="17"/>
                <w:lang w:eastAsia="it-IT"/>
              </w:rPr>
            </w:pPr>
            <w:r w:rsidRPr="00A51547">
              <w:rPr>
                <w:rFonts w:ascii="Arial Narrow" w:hAnsi="Arial Narrow"/>
                <w:b/>
                <w:bCs/>
                <w:sz w:val="17"/>
                <w:szCs w:val="17"/>
                <w:lang w:eastAsia="it-IT"/>
              </w:rPr>
              <w:t>Valori in migliaia</w:t>
            </w:r>
          </w:p>
        </w:tc>
        <w:tc>
          <w:tcPr>
            <w:tcW w:w="1599" w:type="dxa"/>
            <w:gridSpan w:val="2"/>
            <w:shd w:val="clear" w:color="auto" w:fill="F2F2F2"/>
            <w:vAlign w:val="center"/>
          </w:tcPr>
          <w:p w14:paraId="6417E02B" w14:textId="77777777" w:rsidR="00AC2E33" w:rsidRDefault="00AC2E33" w:rsidP="00AC2E33">
            <w:pPr>
              <w:spacing w:after="0"/>
              <w:jc w:val="center"/>
              <w:rPr>
                <w:rFonts w:ascii="Arial Narrow" w:hAnsi="Arial Narrow"/>
                <w:b/>
                <w:bCs/>
                <w:sz w:val="17"/>
                <w:szCs w:val="17"/>
                <w:lang w:eastAsia="it-IT"/>
              </w:rPr>
            </w:pPr>
            <w:r>
              <w:rPr>
                <w:rFonts w:ascii="Arial Narrow" w:hAnsi="Arial Narrow"/>
                <w:b/>
                <w:bCs/>
                <w:sz w:val="17"/>
                <w:szCs w:val="17"/>
                <w:lang w:eastAsia="it-IT"/>
              </w:rPr>
              <w:t>Variazioni congiunturali</w:t>
            </w:r>
          </w:p>
          <w:p w14:paraId="63807E47" w14:textId="02FFCBAF" w:rsidR="00AC2E33" w:rsidRPr="00AC2E33" w:rsidRDefault="00B70CA5" w:rsidP="00AC2E33">
            <w:pPr>
              <w:spacing w:after="0"/>
              <w:jc w:val="center"/>
              <w:rPr>
                <w:rFonts w:ascii="Arial Narrow" w:hAnsi="Arial Narrow"/>
                <w:b/>
                <w:bCs/>
                <w:sz w:val="17"/>
                <w:szCs w:val="17"/>
                <w:u w:val="single"/>
                <w:lang w:eastAsia="it-IT"/>
              </w:rPr>
            </w:pPr>
            <w:r w:rsidRPr="00AC2E33">
              <w:rPr>
                <w:rFonts w:ascii="Arial Narrow" w:hAnsi="Arial Narrow"/>
                <w:b/>
                <w:bCs/>
                <w:sz w:val="17"/>
                <w:szCs w:val="17"/>
                <w:u w:val="single"/>
                <w:lang w:eastAsia="it-IT"/>
              </w:rPr>
              <w:t>I 201</w:t>
            </w:r>
            <w:r w:rsidR="005B0772" w:rsidRPr="00AC2E33">
              <w:rPr>
                <w:rFonts w:ascii="Arial Narrow" w:hAnsi="Arial Narrow"/>
                <w:b/>
                <w:bCs/>
                <w:sz w:val="17"/>
                <w:szCs w:val="17"/>
                <w:u w:val="single"/>
                <w:lang w:eastAsia="it-IT"/>
              </w:rPr>
              <w:t>9</w:t>
            </w:r>
            <w:r w:rsidR="00AC2E33" w:rsidRPr="00AC2E33">
              <w:rPr>
                <w:rFonts w:ascii="Arial Narrow" w:hAnsi="Arial Narrow"/>
                <w:b/>
                <w:bCs/>
                <w:sz w:val="17"/>
                <w:szCs w:val="17"/>
                <w:u w:val="single"/>
                <w:lang w:eastAsia="it-IT"/>
              </w:rPr>
              <w:t xml:space="preserve"> </w:t>
            </w:r>
          </w:p>
          <w:p w14:paraId="60DB81DD" w14:textId="2E954BFF" w:rsidR="00B70CA5" w:rsidRPr="00A51547" w:rsidRDefault="00B70CA5" w:rsidP="00AC2E33">
            <w:pPr>
              <w:spacing w:after="0"/>
              <w:jc w:val="center"/>
              <w:rPr>
                <w:rFonts w:ascii="Arial Narrow" w:hAnsi="Arial Narrow"/>
                <w:b/>
                <w:bCs/>
                <w:sz w:val="17"/>
                <w:szCs w:val="17"/>
                <w:lang w:eastAsia="it-IT"/>
              </w:rPr>
            </w:pPr>
            <w:r w:rsidRPr="00A51547">
              <w:rPr>
                <w:rFonts w:ascii="Arial Narrow" w:hAnsi="Arial Narrow"/>
                <w:b/>
                <w:bCs/>
                <w:sz w:val="17"/>
                <w:szCs w:val="17"/>
                <w:lang w:eastAsia="it-IT"/>
              </w:rPr>
              <w:t xml:space="preserve"> I</w:t>
            </w:r>
            <w:r w:rsidR="005B0772" w:rsidRPr="00A51547">
              <w:rPr>
                <w:rFonts w:ascii="Arial Narrow" w:hAnsi="Arial Narrow"/>
                <w:b/>
                <w:bCs/>
                <w:sz w:val="17"/>
                <w:szCs w:val="17"/>
                <w:lang w:eastAsia="it-IT"/>
              </w:rPr>
              <w:t>V</w:t>
            </w:r>
            <w:r w:rsidRPr="00A51547">
              <w:rPr>
                <w:rFonts w:ascii="Arial Narrow" w:hAnsi="Arial Narrow"/>
                <w:b/>
                <w:bCs/>
                <w:sz w:val="17"/>
                <w:szCs w:val="17"/>
                <w:lang w:eastAsia="it-IT"/>
              </w:rPr>
              <w:t xml:space="preserve"> 201</w:t>
            </w:r>
            <w:r w:rsidR="004D2ED6" w:rsidRPr="00A51547">
              <w:rPr>
                <w:rFonts w:ascii="Arial Narrow" w:hAnsi="Arial Narrow"/>
                <w:b/>
                <w:bCs/>
                <w:sz w:val="17"/>
                <w:szCs w:val="17"/>
                <w:lang w:eastAsia="it-IT"/>
              </w:rPr>
              <w:t>8</w:t>
            </w:r>
          </w:p>
        </w:tc>
        <w:tc>
          <w:tcPr>
            <w:tcW w:w="1275" w:type="dxa"/>
            <w:gridSpan w:val="3"/>
            <w:shd w:val="clear" w:color="auto" w:fill="FFFFFF" w:themeFill="background1"/>
            <w:vAlign w:val="center"/>
          </w:tcPr>
          <w:p w14:paraId="1DF53D60" w14:textId="036F5BF8" w:rsidR="00B70CA5" w:rsidRPr="00A51547" w:rsidRDefault="00B70CA5" w:rsidP="00AC2E33">
            <w:pPr>
              <w:spacing w:after="0"/>
              <w:jc w:val="center"/>
              <w:rPr>
                <w:rFonts w:ascii="Arial Narrow" w:hAnsi="Arial Narrow"/>
                <w:b/>
                <w:bCs/>
                <w:sz w:val="17"/>
                <w:szCs w:val="17"/>
                <w:lang w:eastAsia="it-IT"/>
              </w:rPr>
            </w:pPr>
            <w:r w:rsidRPr="00A51547">
              <w:rPr>
                <w:rFonts w:ascii="Arial Narrow" w:hAnsi="Arial Narrow"/>
                <w:b/>
                <w:bCs/>
                <w:sz w:val="17"/>
                <w:szCs w:val="17"/>
                <w:lang w:eastAsia="it-IT"/>
              </w:rPr>
              <w:t>Variazioni tendenziali</w:t>
            </w:r>
            <w:r w:rsidRPr="00A51547">
              <w:rPr>
                <w:rFonts w:ascii="Arial Narrow" w:hAnsi="Arial Narrow"/>
                <w:b/>
                <w:bCs/>
                <w:sz w:val="17"/>
                <w:szCs w:val="17"/>
                <w:lang w:eastAsia="it-IT"/>
              </w:rPr>
              <w:br/>
            </w:r>
            <w:r w:rsidR="004D2ED6" w:rsidRPr="00AC2E33">
              <w:rPr>
                <w:rFonts w:ascii="Arial Narrow" w:hAnsi="Arial Narrow"/>
                <w:b/>
                <w:bCs/>
                <w:sz w:val="17"/>
                <w:szCs w:val="17"/>
                <w:u w:val="single"/>
                <w:lang w:eastAsia="it-IT"/>
              </w:rPr>
              <w:t>I</w:t>
            </w:r>
            <w:r w:rsidRPr="00AC2E33">
              <w:rPr>
                <w:rFonts w:ascii="Arial Narrow" w:hAnsi="Arial Narrow"/>
                <w:b/>
                <w:bCs/>
                <w:sz w:val="17"/>
                <w:szCs w:val="17"/>
                <w:u w:val="single"/>
                <w:lang w:eastAsia="it-IT"/>
              </w:rPr>
              <w:t xml:space="preserve"> 201</w:t>
            </w:r>
            <w:r w:rsidR="005B0772" w:rsidRPr="00AC2E33">
              <w:rPr>
                <w:rFonts w:ascii="Arial Narrow" w:hAnsi="Arial Narrow"/>
                <w:b/>
                <w:bCs/>
                <w:sz w:val="17"/>
                <w:szCs w:val="17"/>
                <w:u w:val="single"/>
                <w:lang w:eastAsia="it-IT"/>
              </w:rPr>
              <w:t>9</w:t>
            </w:r>
            <w:r w:rsidR="00AC2E33">
              <w:rPr>
                <w:rFonts w:ascii="Arial Narrow" w:hAnsi="Arial Narrow"/>
                <w:b/>
                <w:bCs/>
                <w:sz w:val="17"/>
                <w:szCs w:val="17"/>
                <w:lang w:eastAsia="it-IT"/>
              </w:rPr>
              <w:t xml:space="preserve"> </w:t>
            </w:r>
          </w:p>
          <w:p w14:paraId="6011D62C" w14:textId="2E894749" w:rsidR="00B70CA5" w:rsidRPr="00A51547" w:rsidRDefault="00A7701B" w:rsidP="00AC2E33">
            <w:pPr>
              <w:spacing w:after="0"/>
              <w:jc w:val="center"/>
              <w:rPr>
                <w:rFonts w:ascii="Arial Narrow" w:hAnsi="Arial Narrow"/>
                <w:b/>
                <w:bCs/>
                <w:sz w:val="17"/>
                <w:szCs w:val="17"/>
                <w:lang w:eastAsia="it-IT"/>
              </w:rPr>
            </w:pPr>
            <w:r w:rsidRPr="00A51547">
              <w:rPr>
                <w:rFonts w:ascii="Arial Narrow" w:hAnsi="Arial Narrow"/>
                <w:b/>
                <w:bCs/>
                <w:sz w:val="17"/>
                <w:szCs w:val="17"/>
                <w:lang w:eastAsia="it-IT"/>
              </w:rPr>
              <w:t>I</w:t>
            </w:r>
            <w:r w:rsidR="00B70CA5" w:rsidRPr="00A51547">
              <w:rPr>
                <w:rFonts w:ascii="Arial Narrow" w:hAnsi="Arial Narrow"/>
                <w:b/>
                <w:bCs/>
                <w:sz w:val="17"/>
                <w:szCs w:val="17"/>
                <w:lang w:eastAsia="it-IT"/>
              </w:rPr>
              <w:t xml:space="preserve"> 201</w:t>
            </w:r>
            <w:r w:rsidR="005B0772" w:rsidRPr="00A51547">
              <w:rPr>
                <w:rFonts w:ascii="Arial Narrow" w:hAnsi="Arial Narrow"/>
                <w:b/>
                <w:bCs/>
                <w:sz w:val="17"/>
                <w:szCs w:val="17"/>
                <w:lang w:eastAsia="it-IT"/>
              </w:rPr>
              <w:t>8</w:t>
            </w:r>
          </w:p>
        </w:tc>
      </w:tr>
      <w:tr w:rsidR="00B70CA5" w:rsidRPr="00A51547" w14:paraId="4A674B45" w14:textId="77777777" w:rsidTr="00B70CA5">
        <w:trPr>
          <w:trHeight w:val="255"/>
        </w:trPr>
        <w:tc>
          <w:tcPr>
            <w:tcW w:w="5763" w:type="dxa"/>
            <w:vMerge/>
            <w:shd w:val="clear" w:color="000000" w:fill="FFFFFF"/>
            <w:noWrap/>
            <w:vAlign w:val="center"/>
          </w:tcPr>
          <w:p w14:paraId="18E74D79" w14:textId="77777777" w:rsidR="00B70CA5" w:rsidRPr="00A51547" w:rsidRDefault="00B70CA5" w:rsidP="00D160DA">
            <w:pPr>
              <w:spacing w:before="40" w:after="20"/>
              <w:jc w:val="right"/>
              <w:rPr>
                <w:rFonts w:ascii="Arial Narrow" w:hAnsi="Arial Narrow"/>
                <w:sz w:val="17"/>
                <w:szCs w:val="17"/>
                <w:lang w:eastAsia="it-IT"/>
              </w:rPr>
            </w:pPr>
          </w:p>
        </w:tc>
        <w:tc>
          <w:tcPr>
            <w:tcW w:w="1017" w:type="dxa"/>
            <w:vAlign w:val="center"/>
          </w:tcPr>
          <w:p w14:paraId="7C93C80F" w14:textId="77777777" w:rsidR="00B70CA5" w:rsidRPr="00A51547" w:rsidRDefault="00B70CA5" w:rsidP="00D160DA">
            <w:pPr>
              <w:spacing w:before="40" w:after="20"/>
              <w:rPr>
                <w:rFonts w:ascii="Arial Narrow" w:hAnsi="Arial Narrow"/>
                <w:b/>
                <w:bCs/>
                <w:sz w:val="17"/>
                <w:szCs w:val="17"/>
                <w:lang w:eastAsia="it-IT"/>
              </w:rPr>
            </w:pPr>
          </w:p>
        </w:tc>
        <w:tc>
          <w:tcPr>
            <w:tcW w:w="733" w:type="dxa"/>
            <w:shd w:val="clear" w:color="auto" w:fill="F2F2F2" w:themeFill="background1" w:themeFillShade="F2"/>
            <w:vAlign w:val="center"/>
          </w:tcPr>
          <w:p w14:paraId="4C6EF4FD" w14:textId="77777777" w:rsidR="00B70CA5" w:rsidRPr="00A51547" w:rsidRDefault="00B70CA5" w:rsidP="00D160DA">
            <w:pPr>
              <w:spacing w:before="40" w:after="20"/>
              <w:jc w:val="center"/>
              <w:rPr>
                <w:rFonts w:ascii="Arial Narrow" w:hAnsi="Arial Narrow"/>
                <w:bCs/>
                <w:sz w:val="17"/>
                <w:szCs w:val="17"/>
                <w:lang w:eastAsia="it-IT"/>
              </w:rPr>
            </w:pPr>
            <w:r w:rsidRPr="00A51547">
              <w:rPr>
                <w:rFonts w:ascii="Arial Narrow" w:hAnsi="Arial Narrow"/>
                <w:bCs/>
                <w:sz w:val="17"/>
                <w:szCs w:val="17"/>
                <w:lang w:eastAsia="it-IT"/>
              </w:rPr>
              <w:t>assolute</w:t>
            </w:r>
          </w:p>
        </w:tc>
        <w:tc>
          <w:tcPr>
            <w:tcW w:w="866" w:type="dxa"/>
            <w:shd w:val="clear" w:color="auto" w:fill="FFFFFF"/>
            <w:vAlign w:val="center"/>
          </w:tcPr>
          <w:p w14:paraId="7F803A66" w14:textId="4E7AD35E" w:rsidR="00B70CA5" w:rsidRPr="00A51547" w:rsidRDefault="00B70CA5" w:rsidP="00B70CA5">
            <w:pPr>
              <w:spacing w:before="40" w:after="20"/>
              <w:jc w:val="center"/>
              <w:rPr>
                <w:rFonts w:ascii="Arial Narrow" w:hAnsi="Arial Narrow"/>
                <w:bCs/>
                <w:sz w:val="17"/>
                <w:szCs w:val="17"/>
                <w:lang w:eastAsia="it-IT"/>
              </w:rPr>
            </w:pPr>
            <w:r w:rsidRPr="00A51547">
              <w:rPr>
                <w:rFonts w:ascii="Arial Narrow" w:hAnsi="Arial Narrow"/>
                <w:bCs/>
                <w:sz w:val="17"/>
                <w:szCs w:val="17"/>
                <w:lang w:eastAsia="it-IT"/>
              </w:rPr>
              <w:t>%</w:t>
            </w:r>
          </w:p>
        </w:tc>
        <w:tc>
          <w:tcPr>
            <w:tcW w:w="787" w:type="dxa"/>
            <w:gridSpan w:val="2"/>
            <w:shd w:val="clear" w:color="auto" w:fill="F2F2F2" w:themeFill="background1" w:themeFillShade="F2"/>
            <w:vAlign w:val="center"/>
          </w:tcPr>
          <w:p w14:paraId="754D67D8" w14:textId="77777777" w:rsidR="00B70CA5" w:rsidRPr="00A51547" w:rsidRDefault="00B70CA5" w:rsidP="00D160DA">
            <w:pPr>
              <w:spacing w:before="40" w:after="20"/>
              <w:jc w:val="center"/>
              <w:rPr>
                <w:rFonts w:ascii="Arial Narrow" w:hAnsi="Arial Narrow"/>
                <w:bCs/>
                <w:sz w:val="17"/>
                <w:szCs w:val="17"/>
                <w:lang w:eastAsia="it-IT"/>
              </w:rPr>
            </w:pPr>
            <w:r w:rsidRPr="00A51547">
              <w:rPr>
                <w:rFonts w:ascii="Arial Narrow" w:hAnsi="Arial Narrow"/>
                <w:bCs/>
                <w:sz w:val="17"/>
                <w:szCs w:val="17"/>
                <w:lang w:eastAsia="it-IT"/>
              </w:rPr>
              <w:t>assolute</w:t>
            </w:r>
          </w:p>
        </w:tc>
        <w:tc>
          <w:tcPr>
            <w:tcW w:w="488" w:type="dxa"/>
            <w:vAlign w:val="center"/>
          </w:tcPr>
          <w:p w14:paraId="3595AEFF" w14:textId="77777777" w:rsidR="00B70CA5" w:rsidRPr="00A51547" w:rsidRDefault="00B70CA5" w:rsidP="00D160DA">
            <w:pPr>
              <w:spacing w:before="40" w:after="20"/>
              <w:jc w:val="center"/>
              <w:rPr>
                <w:rFonts w:ascii="Arial Narrow" w:hAnsi="Arial Narrow"/>
                <w:bCs/>
                <w:sz w:val="17"/>
                <w:szCs w:val="17"/>
                <w:lang w:eastAsia="it-IT"/>
              </w:rPr>
            </w:pPr>
            <w:r w:rsidRPr="00A51547">
              <w:rPr>
                <w:rFonts w:ascii="Arial Narrow" w:hAnsi="Arial Narrow"/>
                <w:bCs/>
                <w:sz w:val="17"/>
                <w:szCs w:val="17"/>
                <w:lang w:eastAsia="it-IT"/>
              </w:rPr>
              <w:t>%</w:t>
            </w:r>
          </w:p>
        </w:tc>
      </w:tr>
      <w:tr w:rsidR="004176C3" w:rsidRPr="00A51547" w14:paraId="08936DAB" w14:textId="77777777" w:rsidTr="00B70CA5">
        <w:trPr>
          <w:trHeight w:val="255"/>
        </w:trPr>
        <w:tc>
          <w:tcPr>
            <w:tcW w:w="9654" w:type="dxa"/>
            <w:gridSpan w:val="7"/>
            <w:shd w:val="clear" w:color="auto" w:fill="17365D"/>
            <w:noWrap/>
            <w:vAlign w:val="center"/>
          </w:tcPr>
          <w:p w14:paraId="77BF7FB6" w14:textId="77777777" w:rsidR="004176C3" w:rsidRPr="00A51547" w:rsidRDefault="004176C3" w:rsidP="00AC2E33">
            <w:pPr>
              <w:spacing w:before="40" w:after="20"/>
              <w:rPr>
                <w:rFonts w:ascii="Arial Narrow" w:hAnsi="Arial Narrow"/>
                <w:b/>
                <w:bCs/>
                <w:color w:val="FFFFFF"/>
                <w:sz w:val="17"/>
                <w:szCs w:val="17"/>
                <w:lang w:eastAsia="it-IT"/>
              </w:rPr>
            </w:pPr>
            <w:r w:rsidRPr="00A51547">
              <w:rPr>
                <w:rFonts w:ascii="Arial Narrow" w:hAnsi="Arial Narrow"/>
                <w:b/>
                <w:bCs/>
                <w:color w:val="FFFFFF"/>
                <w:sz w:val="17"/>
                <w:szCs w:val="17"/>
                <w:lang w:eastAsia="it-IT"/>
              </w:rPr>
              <w:t>INPUT DI LAVORO TOTALE</w:t>
            </w:r>
          </w:p>
        </w:tc>
      </w:tr>
      <w:tr w:rsidR="004176C3" w:rsidRPr="00A51547" w14:paraId="1078A5CA" w14:textId="77777777" w:rsidTr="00B70CA5">
        <w:trPr>
          <w:trHeight w:val="255"/>
        </w:trPr>
        <w:tc>
          <w:tcPr>
            <w:tcW w:w="9654" w:type="dxa"/>
            <w:gridSpan w:val="7"/>
            <w:shd w:val="clear" w:color="auto" w:fill="FFFFFF"/>
            <w:noWrap/>
            <w:vAlign w:val="center"/>
          </w:tcPr>
          <w:p w14:paraId="1AE2F90A" w14:textId="77777777" w:rsidR="004176C3" w:rsidRPr="00A51547" w:rsidRDefault="004176C3" w:rsidP="00AC2E33">
            <w:pPr>
              <w:spacing w:before="40" w:after="20"/>
              <w:rPr>
                <w:rFonts w:ascii="Arial Narrow" w:hAnsi="Arial Narrow"/>
                <w:b/>
                <w:i/>
                <w:iCs/>
                <w:color w:val="17365D"/>
                <w:sz w:val="17"/>
                <w:szCs w:val="17"/>
                <w:lang w:eastAsia="it-IT"/>
              </w:rPr>
            </w:pPr>
            <w:r w:rsidRPr="00A51547">
              <w:rPr>
                <w:rFonts w:ascii="Arial Narrow" w:hAnsi="Arial Narrow"/>
                <w:b/>
                <w:i/>
                <w:iCs/>
                <w:color w:val="17365D"/>
                <w:sz w:val="17"/>
                <w:szCs w:val="17"/>
                <w:lang w:eastAsia="it-IT"/>
              </w:rPr>
              <w:t>Istat, Contabilità nazionale</w:t>
            </w:r>
          </w:p>
        </w:tc>
      </w:tr>
      <w:tr w:rsidR="00ED23A7" w:rsidRPr="00A51547" w14:paraId="15201FC8" w14:textId="77777777" w:rsidTr="00B70CA5">
        <w:trPr>
          <w:trHeight w:val="191"/>
        </w:trPr>
        <w:tc>
          <w:tcPr>
            <w:tcW w:w="5763" w:type="dxa"/>
            <w:shd w:val="clear" w:color="000000" w:fill="FFFFFF"/>
            <w:noWrap/>
            <w:vAlign w:val="center"/>
          </w:tcPr>
          <w:p w14:paraId="7F7CEFD9" w14:textId="77777777" w:rsidR="00ED23A7" w:rsidRPr="00A51547" w:rsidRDefault="00ED23A7"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Unità di lavoro equivalenti a tempo pieno</w:t>
            </w:r>
          </w:p>
        </w:tc>
        <w:tc>
          <w:tcPr>
            <w:tcW w:w="1017" w:type="dxa"/>
            <w:shd w:val="clear" w:color="auto" w:fill="F2F2F2"/>
            <w:noWrap/>
            <w:vAlign w:val="center"/>
          </w:tcPr>
          <w:p w14:paraId="770A643F" w14:textId="51C2B019" w:rsidR="00ED23A7" w:rsidRPr="00A51547" w:rsidRDefault="00E24573" w:rsidP="00AC2E33">
            <w:pPr>
              <w:spacing w:before="40" w:after="20"/>
              <w:jc w:val="right"/>
              <w:rPr>
                <w:rFonts w:ascii="Arial Narrow" w:hAnsi="Arial Narrow"/>
                <w:sz w:val="17"/>
                <w:szCs w:val="17"/>
              </w:rPr>
            </w:pPr>
            <w:r w:rsidRPr="00A51547">
              <w:rPr>
                <w:rFonts w:ascii="Arial Narrow" w:hAnsi="Arial Narrow"/>
                <w:sz w:val="17"/>
                <w:szCs w:val="17"/>
              </w:rPr>
              <w:t>24.284</w:t>
            </w:r>
          </w:p>
        </w:tc>
        <w:tc>
          <w:tcPr>
            <w:tcW w:w="733" w:type="dxa"/>
            <w:shd w:val="clear" w:color="auto" w:fill="FFFFFF"/>
            <w:noWrap/>
            <w:vAlign w:val="center"/>
          </w:tcPr>
          <w:p w14:paraId="64B4AE02" w14:textId="56688446" w:rsidR="00ED23A7" w:rsidRPr="00A51547" w:rsidRDefault="00E24573" w:rsidP="00AC2E33">
            <w:pPr>
              <w:spacing w:before="40" w:after="20"/>
              <w:jc w:val="right"/>
              <w:rPr>
                <w:rFonts w:ascii="Arial Narrow" w:hAnsi="Arial Narrow"/>
                <w:sz w:val="17"/>
                <w:szCs w:val="17"/>
              </w:rPr>
            </w:pPr>
            <w:r w:rsidRPr="00A51547">
              <w:rPr>
                <w:rFonts w:ascii="Arial Narrow" w:hAnsi="Arial Narrow"/>
                <w:sz w:val="17"/>
                <w:szCs w:val="17"/>
              </w:rPr>
              <w:t>89</w:t>
            </w:r>
          </w:p>
        </w:tc>
        <w:tc>
          <w:tcPr>
            <w:tcW w:w="920" w:type="dxa"/>
            <w:gridSpan w:val="2"/>
            <w:shd w:val="clear" w:color="auto" w:fill="F2F2F2"/>
            <w:noWrap/>
            <w:vAlign w:val="center"/>
          </w:tcPr>
          <w:p w14:paraId="2FB9C07B" w14:textId="3F470C7D" w:rsidR="00ED23A7" w:rsidRPr="00A51547" w:rsidRDefault="00ED23A7" w:rsidP="00AC2E33">
            <w:pPr>
              <w:spacing w:before="40" w:after="20"/>
              <w:jc w:val="right"/>
              <w:rPr>
                <w:rFonts w:ascii="Arial Narrow" w:hAnsi="Arial Narrow"/>
                <w:sz w:val="17"/>
                <w:szCs w:val="17"/>
              </w:rPr>
            </w:pPr>
            <w:r w:rsidRPr="00A51547">
              <w:rPr>
                <w:rFonts w:ascii="Arial Narrow" w:hAnsi="Arial Narrow"/>
                <w:sz w:val="17"/>
                <w:szCs w:val="17"/>
              </w:rPr>
              <w:t>0,</w:t>
            </w:r>
            <w:r w:rsidR="00E24573" w:rsidRPr="00A51547">
              <w:rPr>
                <w:rFonts w:ascii="Arial Narrow" w:hAnsi="Arial Narrow"/>
                <w:sz w:val="17"/>
                <w:szCs w:val="17"/>
              </w:rPr>
              <w:t>4</w:t>
            </w:r>
          </w:p>
        </w:tc>
        <w:tc>
          <w:tcPr>
            <w:tcW w:w="733" w:type="dxa"/>
            <w:shd w:val="clear" w:color="auto" w:fill="FFFFFF"/>
            <w:noWrap/>
            <w:vAlign w:val="center"/>
          </w:tcPr>
          <w:p w14:paraId="0419F87F" w14:textId="3069D900" w:rsidR="00ED23A7" w:rsidRPr="00A51547" w:rsidRDefault="00E24573" w:rsidP="00AC2E33">
            <w:pPr>
              <w:spacing w:before="40" w:after="20"/>
              <w:jc w:val="right"/>
              <w:rPr>
                <w:rFonts w:ascii="Arial Narrow" w:hAnsi="Arial Narrow"/>
                <w:sz w:val="17"/>
                <w:szCs w:val="17"/>
              </w:rPr>
            </w:pPr>
            <w:r w:rsidRPr="00A51547">
              <w:rPr>
                <w:rFonts w:ascii="Arial Narrow" w:hAnsi="Arial Narrow"/>
                <w:sz w:val="17"/>
                <w:szCs w:val="17"/>
              </w:rPr>
              <w:t>252</w:t>
            </w:r>
          </w:p>
        </w:tc>
        <w:tc>
          <w:tcPr>
            <w:tcW w:w="488" w:type="dxa"/>
            <w:shd w:val="clear" w:color="auto" w:fill="F2F2F2"/>
            <w:noWrap/>
            <w:vAlign w:val="center"/>
          </w:tcPr>
          <w:p w14:paraId="735EC107" w14:textId="490D69BD" w:rsidR="00ED23A7" w:rsidRPr="00A51547" w:rsidRDefault="00E24573" w:rsidP="00AC2E33">
            <w:pPr>
              <w:spacing w:before="40" w:after="20"/>
              <w:jc w:val="right"/>
              <w:rPr>
                <w:rFonts w:ascii="Arial Narrow" w:hAnsi="Arial Narrow"/>
                <w:sz w:val="17"/>
                <w:szCs w:val="17"/>
              </w:rPr>
            </w:pPr>
            <w:r w:rsidRPr="00A51547">
              <w:rPr>
                <w:rFonts w:ascii="Arial Narrow" w:hAnsi="Arial Narrow"/>
                <w:sz w:val="17"/>
                <w:szCs w:val="17"/>
              </w:rPr>
              <w:t>1</w:t>
            </w:r>
            <w:r w:rsidR="00ED23A7" w:rsidRPr="00A51547">
              <w:rPr>
                <w:rFonts w:ascii="Arial Narrow" w:hAnsi="Arial Narrow"/>
                <w:sz w:val="17"/>
                <w:szCs w:val="17"/>
              </w:rPr>
              <w:t>,</w:t>
            </w:r>
            <w:r w:rsidRPr="00A51547">
              <w:rPr>
                <w:rFonts w:ascii="Arial Narrow" w:hAnsi="Arial Narrow"/>
                <w:sz w:val="17"/>
                <w:szCs w:val="17"/>
              </w:rPr>
              <w:t>1</w:t>
            </w:r>
          </w:p>
        </w:tc>
      </w:tr>
      <w:tr w:rsidR="004176C3" w:rsidRPr="00A51547" w14:paraId="40D9131F" w14:textId="77777777" w:rsidTr="00B70CA5">
        <w:trPr>
          <w:trHeight w:val="255"/>
        </w:trPr>
        <w:tc>
          <w:tcPr>
            <w:tcW w:w="9654" w:type="dxa"/>
            <w:gridSpan w:val="7"/>
            <w:shd w:val="clear" w:color="auto" w:fill="17365D"/>
            <w:noWrap/>
            <w:vAlign w:val="center"/>
          </w:tcPr>
          <w:p w14:paraId="0C70076A" w14:textId="77777777" w:rsidR="004176C3" w:rsidRPr="00A51547" w:rsidRDefault="004176C3" w:rsidP="00AC2E33">
            <w:pPr>
              <w:spacing w:before="40" w:after="20"/>
              <w:rPr>
                <w:rFonts w:ascii="Arial Narrow" w:hAnsi="Arial Narrow"/>
                <w:b/>
                <w:bCs/>
                <w:color w:val="FFFFFF"/>
                <w:sz w:val="17"/>
                <w:szCs w:val="17"/>
                <w:lang w:eastAsia="it-IT"/>
              </w:rPr>
            </w:pPr>
            <w:r w:rsidRPr="00A51547">
              <w:rPr>
                <w:rFonts w:ascii="Arial Narrow" w:hAnsi="Arial Narrow"/>
                <w:b/>
                <w:bCs/>
                <w:color w:val="FFFFFF"/>
                <w:sz w:val="17"/>
                <w:szCs w:val="17"/>
                <w:lang w:eastAsia="it-IT"/>
              </w:rPr>
              <w:t>OFFERTA DI LAVORO</w:t>
            </w:r>
          </w:p>
        </w:tc>
      </w:tr>
      <w:tr w:rsidR="004176C3" w:rsidRPr="00A51547" w14:paraId="64CAF8F5" w14:textId="77777777" w:rsidTr="00B70CA5">
        <w:trPr>
          <w:trHeight w:val="255"/>
        </w:trPr>
        <w:tc>
          <w:tcPr>
            <w:tcW w:w="9654" w:type="dxa"/>
            <w:gridSpan w:val="7"/>
            <w:shd w:val="clear" w:color="auto" w:fill="FFFFFF"/>
            <w:noWrap/>
            <w:vAlign w:val="center"/>
          </w:tcPr>
          <w:p w14:paraId="62BF6D24" w14:textId="77777777" w:rsidR="004176C3" w:rsidRPr="00A51547" w:rsidRDefault="004176C3" w:rsidP="00AC2E33">
            <w:pPr>
              <w:spacing w:before="40" w:after="20"/>
              <w:rPr>
                <w:rFonts w:ascii="Arial Narrow" w:hAnsi="Arial Narrow"/>
                <w:b/>
                <w:i/>
                <w:iCs/>
                <w:color w:val="17365D"/>
                <w:sz w:val="17"/>
                <w:szCs w:val="17"/>
                <w:lang w:eastAsia="it-IT"/>
              </w:rPr>
            </w:pPr>
            <w:r w:rsidRPr="00A51547">
              <w:rPr>
                <w:rFonts w:ascii="Arial Narrow" w:hAnsi="Arial Narrow"/>
                <w:b/>
                <w:i/>
                <w:iCs/>
                <w:color w:val="17365D"/>
                <w:sz w:val="17"/>
                <w:szCs w:val="17"/>
                <w:lang w:eastAsia="it-IT"/>
              </w:rPr>
              <w:t>Istat, Rilevazione sulle Forze di lavoro</w:t>
            </w:r>
          </w:p>
        </w:tc>
      </w:tr>
      <w:tr w:rsidR="006D76B2" w:rsidRPr="00A51547" w14:paraId="63CC1DF3" w14:textId="77777777" w:rsidTr="005B5E17">
        <w:trPr>
          <w:trHeight w:val="255"/>
        </w:trPr>
        <w:tc>
          <w:tcPr>
            <w:tcW w:w="5763" w:type="dxa"/>
            <w:shd w:val="clear" w:color="000000" w:fill="FFFFFF"/>
            <w:noWrap/>
            <w:vAlign w:val="center"/>
          </w:tcPr>
          <w:p w14:paraId="59BDCB02" w14:textId="77777777" w:rsidR="006D76B2" w:rsidRPr="00A51547" w:rsidRDefault="006D76B2" w:rsidP="00AC2E33">
            <w:pPr>
              <w:spacing w:before="40" w:after="20"/>
              <w:rPr>
                <w:rFonts w:ascii="Arial Narrow" w:hAnsi="Arial Narrow"/>
                <w:sz w:val="17"/>
                <w:szCs w:val="17"/>
                <w:lang w:eastAsia="it-IT"/>
              </w:rPr>
            </w:pPr>
            <w:r w:rsidRPr="00A51547">
              <w:rPr>
                <w:rFonts w:ascii="Arial Narrow" w:hAnsi="Arial Narrow"/>
                <w:sz w:val="17"/>
                <w:szCs w:val="17"/>
                <w:lang w:eastAsia="it-IT"/>
              </w:rPr>
              <w:t>Occupati</w:t>
            </w:r>
          </w:p>
        </w:tc>
        <w:tc>
          <w:tcPr>
            <w:tcW w:w="1017" w:type="dxa"/>
            <w:shd w:val="clear" w:color="auto" w:fill="F2F2F2"/>
            <w:noWrap/>
          </w:tcPr>
          <w:p w14:paraId="6121FD2B" w14:textId="59DC97AD"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23.230</w:t>
            </w:r>
          </w:p>
        </w:tc>
        <w:tc>
          <w:tcPr>
            <w:tcW w:w="733" w:type="dxa"/>
            <w:shd w:val="clear" w:color="auto" w:fill="FFFFFF"/>
            <w:noWrap/>
          </w:tcPr>
          <w:p w14:paraId="6FFA349B" w14:textId="53D39381"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25</w:t>
            </w:r>
          </w:p>
        </w:tc>
        <w:tc>
          <w:tcPr>
            <w:tcW w:w="920" w:type="dxa"/>
            <w:gridSpan w:val="2"/>
            <w:shd w:val="clear" w:color="auto" w:fill="F2F2F2"/>
            <w:noWrap/>
          </w:tcPr>
          <w:p w14:paraId="4899AF4E" w14:textId="585DD9E0"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0,1</w:t>
            </w:r>
          </w:p>
        </w:tc>
        <w:tc>
          <w:tcPr>
            <w:tcW w:w="733" w:type="dxa"/>
            <w:shd w:val="clear" w:color="auto" w:fill="FFFFFF"/>
            <w:noWrap/>
          </w:tcPr>
          <w:p w14:paraId="4AE71263" w14:textId="47DC9580"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144</w:t>
            </w:r>
          </w:p>
        </w:tc>
        <w:tc>
          <w:tcPr>
            <w:tcW w:w="488" w:type="dxa"/>
            <w:shd w:val="clear" w:color="auto" w:fill="F2F2F2"/>
            <w:noWrap/>
          </w:tcPr>
          <w:p w14:paraId="1DB92BA5" w14:textId="731D8D7B"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0,6</w:t>
            </w:r>
          </w:p>
        </w:tc>
      </w:tr>
      <w:tr w:rsidR="006D76B2" w:rsidRPr="00A51547" w14:paraId="7783E759" w14:textId="77777777" w:rsidTr="005B5E17">
        <w:trPr>
          <w:trHeight w:val="255"/>
        </w:trPr>
        <w:tc>
          <w:tcPr>
            <w:tcW w:w="5763" w:type="dxa"/>
            <w:shd w:val="clear" w:color="000000" w:fill="FFFFFF"/>
            <w:noWrap/>
            <w:vAlign w:val="center"/>
          </w:tcPr>
          <w:p w14:paraId="28A5D848" w14:textId="77777777" w:rsidR="006D76B2" w:rsidRPr="00A51547" w:rsidRDefault="006D76B2" w:rsidP="00AC2E33">
            <w:pPr>
              <w:spacing w:before="40" w:after="20"/>
              <w:ind w:firstLineChars="100" w:firstLine="170"/>
              <w:rPr>
                <w:rFonts w:ascii="Arial Narrow" w:hAnsi="Arial Narrow"/>
                <w:i/>
                <w:sz w:val="17"/>
                <w:szCs w:val="17"/>
                <w:lang w:eastAsia="it-IT"/>
              </w:rPr>
            </w:pPr>
            <w:r w:rsidRPr="00A51547">
              <w:rPr>
                <w:rFonts w:ascii="Arial Narrow" w:hAnsi="Arial Narrow"/>
                <w:i/>
                <w:sz w:val="17"/>
                <w:szCs w:val="17"/>
                <w:lang w:eastAsia="it-IT"/>
              </w:rPr>
              <w:t xml:space="preserve">Dipendenti </w:t>
            </w:r>
          </w:p>
        </w:tc>
        <w:tc>
          <w:tcPr>
            <w:tcW w:w="1017" w:type="dxa"/>
            <w:shd w:val="clear" w:color="auto" w:fill="F2F2F2"/>
            <w:noWrap/>
          </w:tcPr>
          <w:p w14:paraId="7D67164C" w14:textId="4DAA7EF6"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17.910</w:t>
            </w:r>
          </w:p>
        </w:tc>
        <w:tc>
          <w:tcPr>
            <w:tcW w:w="733" w:type="dxa"/>
            <w:shd w:val="clear" w:color="auto" w:fill="FFFFFF"/>
            <w:noWrap/>
          </w:tcPr>
          <w:p w14:paraId="76CF6122" w14:textId="5E340EE5"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18</w:t>
            </w:r>
          </w:p>
        </w:tc>
        <w:tc>
          <w:tcPr>
            <w:tcW w:w="920" w:type="dxa"/>
            <w:gridSpan w:val="2"/>
            <w:shd w:val="clear" w:color="auto" w:fill="F2F2F2"/>
            <w:noWrap/>
          </w:tcPr>
          <w:p w14:paraId="639AEFFC" w14:textId="742AC7F2"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0,1</w:t>
            </w:r>
          </w:p>
        </w:tc>
        <w:tc>
          <w:tcPr>
            <w:tcW w:w="733" w:type="dxa"/>
            <w:shd w:val="clear" w:color="auto" w:fill="FFFFFF"/>
            <w:noWrap/>
          </w:tcPr>
          <w:p w14:paraId="49F5867D" w14:textId="5771EAEE"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92</w:t>
            </w:r>
          </w:p>
        </w:tc>
        <w:tc>
          <w:tcPr>
            <w:tcW w:w="488" w:type="dxa"/>
            <w:shd w:val="clear" w:color="auto" w:fill="F2F2F2"/>
            <w:noWrap/>
          </w:tcPr>
          <w:p w14:paraId="6B35517C" w14:textId="032404B5"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0,5</w:t>
            </w:r>
          </w:p>
        </w:tc>
      </w:tr>
      <w:tr w:rsidR="006D76B2" w:rsidRPr="00A51547" w14:paraId="60465C25" w14:textId="77777777" w:rsidTr="005B5E17">
        <w:trPr>
          <w:trHeight w:val="255"/>
        </w:trPr>
        <w:tc>
          <w:tcPr>
            <w:tcW w:w="5763" w:type="dxa"/>
            <w:shd w:val="clear" w:color="000000" w:fill="FFFFFF"/>
            <w:noWrap/>
            <w:vAlign w:val="center"/>
          </w:tcPr>
          <w:p w14:paraId="1A4F315A" w14:textId="77777777" w:rsidR="006D76B2" w:rsidRPr="00A51547" w:rsidRDefault="006D76B2" w:rsidP="00AC2E33">
            <w:pPr>
              <w:spacing w:before="40" w:after="20"/>
              <w:ind w:firstLineChars="100" w:firstLine="170"/>
              <w:rPr>
                <w:rFonts w:ascii="Arial Narrow" w:hAnsi="Arial Narrow"/>
                <w:i/>
                <w:sz w:val="17"/>
                <w:szCs w:val="17"/>
                <w:lang w:eastAsia="it-IT"/>
              </w:rPr>
            </w:pPr>
            <w:r w:rsidRPr="00A51547">
              <w:rPr>
                <w:rFonts w:ascii="Arial Narrow" w:hAnsi="Arial Narrow"/>
                <w:i/>
                <w:sz w:val="17"/>
                <w:szCs w:val="17"/>
                <w:lang w:eastAsia="it-IT"/>
              </w:rPr>
              <w:t>Indipendenti</w:t>
            </w:r>
          </w:p>
        </w:tc>
        <w:tc>
          <w:tcPr>
            <w:tcW w:w="1017" w:type="dxa"/>
            <w:shd w:val="clear" w:color="auto" w:fill="F2F2F2"/>
            <w:noWrap/>
          </w:tcPr>
          <w:p w14:paraId="6B251273" w14:textId="3925AC72"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5.321</w:t>
            </w:r>
          </w:p>
        </w:tc>
        <w:tc>
          <w:tcPr>
            <w:tcW w:w="733" w:type="dxa"/>
            <w:shd w:val="clear" w:color="auto" w:fill="FFFFFF"/>
            <w:noWrap/>
          </w:tcPr>
          <w:p w14:paraId="0841ADEE" w14:textId="5C44F88A"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7</w:t>
            </w:r>
          </w:p>
        </w:tc>
        <w:tc>
          <w:tcPr>
            <w:tcW w:w="920" w:type="dxa"/>
            <w:gridSpan w:val="2"/>
            <w:shd w:val="clear" w:color="auto" w:fill="F2F2F2"/>
            <w:noWrap/>
          </w:tcPr>
          <w:p w14:paraId="37A346CA" w14:textId="0F9EA2ED"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0,1</w:t>
            </w:r>
          </w:p>
        </w:tc>
        <w:tc>
          <w:tcPr>
            <w:tcW w:w="733" w:type="dxa"/>
            <w:shd w:val="clear" w:color="auto" w:fill="FFFFFF"/>
            <w:noWrap/>
          </w:tcPr>
          <w:p w14:paraId="0DDF7433" w14:textId="6FDBEADA"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52</w:t>
            </w:r>
          </w:p>
        </w:tc>
        <w:tc>
          <w:tcPr>
            <w:tcW w:w="488" w:type="dxa"/>
            <w:shd w:val="clear" w:color="auto" w:fill="F2F2F2"/>
            <w:noWrap/>
          </w:tcPr>
          <w:p w14:paraId="50798093" w14:textId="6965B346"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1,0</w:t>
            </w:r>
          </w:p>
        </w:tc>
      </w:tr>
      <w:tr w:rsidR="006D76B2" w:rsidRPr="00A51547" w14:paraId="343B322A" w14:textId="77777777" w:rsidTr="005B5E17">
        <w:trPr>
          <w:trHeight w:val="255"/>
        </w:trPr>
        <w:tc>
          <w:tcPr>
            <w:tcW w:w="5763" w:type="dxa"/>
            <w:shd w:val="clear" w:color="000000" w:fill="FFFFFF"/>
            <w:noWrap/>
            <w:vAlign w:val="center"/>
          </w:tcPr>
          <w:p w14:paraId="0649E1FE" w14:textId="77777777" w:rsidR="006D76B2" w:rsidRPr="00A51547" w:rsidRDefault="006D76B2" w:rsidP="00AC2E33">
            <w:pPr>
              <w:spacing w:before="40" w:after="20"/>
              <w:rPr>
                <w:rFonts w:ascii="Arial Narrow" w:hAnsi="Arial Narrow"/>
                <w:sz w:val="17"/>
                <w:szCs w:val="17"/>
                <w:lang w:eastAsia="it-IT"/>
              </w:rPr>
            </w:pPr>
            <w:r w:rsidRPr="00A51547">
              <w:rPr>
                <w:rFonts w:ascii="Arial Narrow" w:hAnsi="Arial Narrow"/>
                <w:sz w:val="17"/>
                <w:szCs w:val="17"/>
                <w:lang w:eastAsia="it-IT"/>
              </w:rPr>
              <w:t>Disoccupati</w:t>
            </w:r>
          </w:p>
        </w:tc>
        <w:tc>
          <w:tcPr>
            <w:tcW w:w="1017" w:type="dxa"/>
            <w:shd w:val="clear" w:color="auto" w:fill="F2F2F2"/>
            <w:noWrap/>
          </w:tcPr>
          <w:p w14:paraId="5B6F8BFD" w14:textId="65A7D4D2"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2.702</w:t>
            </w:r>
          </w:p>
        </w:tc>
        <w:tc>
          <w:tcPr>
            <w:tcW w:w="733" w:type="dxa"/>
            <w:shd w:val="clear" w:color="auto" w:fill="FFFFFF"/>
            <w:noWrap/>
          </w:tcPr>
          <w:p w14:paraId="615A4405" w14:textId="5772A46F"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-43</w:t>
            </w:r>
          </w:p>
        </w:tc>
        <w:tc>
          <w:tcPr>
            <w:tcW w:w="920" w:type="dxa"/>
            <w:gridSpan w:val="2"/>
            <w:shd w:val="clear" w:color="auto" w:fill="F2F2F2"/>
            <w:noWrap/>
          </w:tcPr>
          <w:p w14:paraId="48E7BDC4" w14:textId="65900833"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-1,6</w:t>
            </w:r>
          </w:p>
        </w:tc>
        <w:tc>
          <w:tcPr>
            <w:tcW w:w="733" w:type="dxa"/>
            <w:shd w:val="clear" w:color="auto" w:fill="FFFFFF"/>
            <w:noWrap/>
          </w:tcPr>
          <w:p w14:paraId="7D67DCCB" w14:textId="67F486AB"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-138</w:t>
            </w:r>
          </w:p>
        </w:tc>
        <w:tc>
          <w:tcPr>
            <w:tcW w:w="488" w:type="dxa"/>
            <w:shd w:val="clear" w:color="auto" w:fill="F2F2F2"/>
            <w:noWrap/>
          </w:tcPr>
          <w:p w14:paraId="148E5AB9" w14:textId="4F39AF2F"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-4,6</w:t>
            </w:r>
          </w:p>
        </w:tc>
      </w:tr>
      <w:tr w:rsidR="006D76B2" w:rsidRPr="00A51547" w14:paraId="434FFBCA" w14:textId="77777777" w:rsidTr="005B5E17">
        <w:trPr>
          <w:trHeight w:val="255"/>
        </w:trPr>
        <w:tc>
          <w:tcPr>
            <w:tcW w:w="5763" w:type="dxa"/>
            <w:shd w:val="clear" w:color="000000" w:fill="FFFFFF"/>
            <w:noWrap/>
            <w:vAlign w:val="center"/>
          </w:tcPr>
          <w:p w14:paraId="5E004F9F" w14:textId="77777777" w:rsidR="006D76B2" w:rsidRPr="00A51547" w:rsidRDefault="006D76B2" w:rsidP="00AC2E33">
            <w:pPr>
              <w:spacing w:before="40" w:after="20"/>
              <w:rPr>
                <w:rFonts w:ascii="Arial Narrow" w:hAnsi="Arial Narrow"/>
                <w:sz w:val="17"/>
                <w:szCs w:val="17"/>
                <w:lang w:eastAsia="it-IT"/>
              </w:rPr>
            </w:pPr>
            <w:r w:rsidRPr="00A51547">
              <w:rPr>
                <w:rFonts w:ascii="Arial Narrow" w:hAnsi="Arial Narrow"/>
                <w:sz w:val="17"/>
                <w:szCs w:val="17"/>
                <w:lang w:eastAsia="it-IT"/>
              </w:rPr>
              <w:t>Inattivi 15-64 anni</w:t>
            </w:r>
          </w:p>
        </w:tc>
        <w:tc>
          <w:tcPr>
            <w:tcW w:w="1017" w:type="dxa"/>
            <w:shd w:val="clear" w:color="auto" w:fill="F2F2F2"/>
            <w:noWrap/>
          </w:tcPr>
          <w:p w14:paraId="4CFB62D9" w14:textId="7860BF71"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13.213</w:t>
            </w:r>
          </w:p>
        </w:tc>
        <w:tc>
          <w:tcPr>
            <w:tcW w:w="733" w:type="dxa"/>
            <w:shd w:val="clear" w:color="auto" w:fill="FFFFFF"/>
            <w:noWrap/>
          </w:tcPr>
          <w:p w14:paraId="630C01BC" w14:textId="69E70C39"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-14</w:t>
            </w:r>
          </w:p>
        </w:tc>
        <w:tc>
          <w:tcPr>
            <w:tcW w:w="920" w:type="dxa"/>
            <w:gridSpan w:val="2"/>
            <w:shd w:val="clear" w:color="auto" w:fill="F2F2F2"/>
            <w:noWrap/>
          </w:tcPr>
          <w:p w14:paraId="746DD4B0" w14:textId="093ECA50"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-0,1</w:t>
            </w:r>
          </w:p>
        </w:tc>
        <w:tc>
          <w:tcPr>
            <w:tcW w:w="733" w:type="dxa"/>
            <w:shd w:val="clear" w:color="auto" w:fill="FFFFFF"/>
            <w:noWrap/>
          </w:tcPr>
          <w:p w14:paraId="34855F7F" w14:textId="2AC7EC7E"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-130</w:t>
            </w:r>
          </w:p>
        </w:tc>
        <w:tc>
          <w:tcPr>
            <w:tcW w:w="488" w:type="dxa"/>
            <w:shd w:val="clear" w:color="auto" w:fill="F2F2F2"/>
            <w:noWrap/>
          </w:tcPr>
          <w:p w14:paraId="7BAD52D7" w14:textId="3F7D2C2A" w:rsidR="006D76B2" w:rsidRPr="00A51547" w:rsidRDefault="006D76B2" w:rsidP="00AC2E33">
            <w:pPr>
              <w:spacing w:before="40" w:after="20"/>
              <w:jc w:val="right"/>
              <w:rPr>
                <w:rFonts w:ascii="Arial Narrow" w:hAnsi="Arial Narrow"/>
                <w:sz w:val="17"/>
                <w:szCs w:val="17"/>
              </w:rPr>
            </w:pPr>
            <w:r w:rsidRPr="00A51547">
              <w:rPr>
                <w:rFonts w:ascii="Arial Narrow" w:hAnsi="Arial Narrow" w:cs="Arial"/>
                <w:color w:val="000000"/>
                <w:sz w:val="17"/>
                <w:szCs w:val="17"/>
              </w:rPr>
              <w:t>-1,0</w:t>
            </w:r>
          </w:p>
        </w:tc>
      </w:tr>
      <w:tr w:rsidR="00F8343B" w:rsidRPr="00A51547" w14:paraId="0B5DB36B" w14:textId="77777777" w:rsidTr="00B70CA5">
        <w:trPr>
          <w:trHeight w:val="255"/>
        </w:trPr>
        <w:tc>
          <w:tcPr>
            <w:tcW w:w="9654" w:type="dxa"/>
            <w:gridSpan w:val="7"/>
            <w:shd w:val="clear" w:color="auto" w:fill="17365D"/>
            <w:noWrap/>
            <w:vAlign w:val="center"/>
          </w:tcPr>
          <w:p w14:paraId="6E7B4D9F" w14:textId="77777777" w:rsidR="00F8343B" w:rsidRPr="00A51547" w:rsidRDefault="00F8343B" w:rsidP="00AC2E33">
            <w:pPr>
              <w:spacing w:before="40" w:after="20"/>
              <w:rPr>
                <w:rFonts w:ascii="Arial Narrow" w:hAnsi="Arial Narrow"/>
                <w:b/>
                <w:bCs/>
                <w:color w:val="FFFFFF"/>
                <w:sz w:val="17"/>
                <w:szCs w:val="17"/>
                <w:lang w:eastAsia="it-IT"/>
              </w:rPr>
            </w:pPr>
            <w:r w:rsidRPr="00A51547">
              <w:rPr>
                <w:rFonts w:ascii="Arial Narrow" w:hAnsi="Arial Narrow"/>
                <w:b/>
                <w:bCs/>
                <w:color w:val="FFFFFF"/>
                <w:sz w:val="17"/>
                <w:szCs w:val="17"/>
                <w:lang w:eastAsia="it-IT"/>
              </w:rPr>
              <w:t>DOMANDA DI LAVORO DIPENDENTE  TOTALE</w:t>
            </w:r>
            <w:r w:rsidRPr="00A51547">
              <w:rPr>
                <w:rFonts w:ascii="Arial Narrow" w:hAnsi="Arial Narrow"/>
                <w:color w:val="FFFFFF"/>
                <w:sz w:val="17"/>
                <w:szCs w:val="17"/>
                <w:lang w:eastAsia="it-IT"/>
              </w:rPr>
              <w:t xml:space="preserve"> (</w:t>
            </w:r>
            <w:r w:rsidRPr="00A51547">
              <w:rPr>
                <w:rFonts w:ascii="Arial Narrow" w:hAnsi="Arial Narrow"/>
                <w:bCs/>
                <w:color w:val="FFFFFF"/>
                <w:sz w:val="17"/>
                <w:szCs w:val="17"/>
                <w:lang w:eastAsia="it-IT"/>
              </w:rPr>
              <w:t xml:space="preserve">sezioni A-U Ateco 2007 </w:t>
            </w:r>
            <w:r w:rsidRPr="00A51547">
              <w:rPr>
                <w:rFonts w:ascii="Arial Narrow" w:hAnsi="Arial Narrow"/>
                <w:color w:val="FFFFFF"/>
                <w:sz w:val="17"/>
                <w:szCs w:val="17"/>
                <w:lang w:eastAsia="it-IT"/>
              </w:rPr>
              <w:t>escluso lavoro in somministrazione e intermittente)</w:t>
            </w:r>
          </w:p>
        </w:tc>
      </w:tr>
      <w:tr w:rsidR="00F8343B" w:rsidRPr="00A51547" w14:paraId="5E5088D5" w14:textId="77777777" w:rsidTr="00B70CA5">
        <w:trPr>
          <w:trHeight w:val="255"/>
        </w:trPr>
        <w:tc>
          <w:tcPr>
            <w:tcW w:w="9654" w:type="dxa"/>
            <w:gridSpan w:val="7"/>
            <w:shd w:val="clear" w:color="auto" w:fill="FFFFFF"/>
            <w:noWrap/>
            <w:vAlign w:val="center"/>
          </w:tcPr>
          <w:p w14:paraId="24B8BDA7" w14:textId="77777777" w:rsidR="00F8343B" w:rsidRPr="00A51547" w:rsidRDefault="00F8343B" w:rsidP="00AC2E33">
            <w:pPr>
              <w:spacing w:before="40" w:after="20"/>
              <w:rPr>
                <w:rFonts w:ascii="Arial Narrow" w:hAnsi="Arial Narrow"/>
                <w:b/>
                <w:i/>
                <w:iCs/>
                <w:color w:val="17365D"/>
                <w:sz w:val="17"/>
                <w:szCs w:val="17"/>
                <w:lang w:eastAsia="it-IT"/>
              </w:rPr>
            </w:pPr>
            <w:r w:rsidRPr="00A51547">
              <w:rPr>
                <w:rFonts w:ascii="Arial Narrow" w:hAnsi="Arial Narrow"/>
                <w:b/>
                <w:i/>
                <w:iCs/>
                <w:color w:val="17365D"/>
                <w:sz w:val="17"/>
                <w:szCs w:val="17"/>
                <w:lang w:eastAsia="it-IT"/>
              </w:rPr>
              <w:t>Ministero del lavoro e delle politiche sociali, Comunicazioni obbligatorie SISCO (rielaborate)</w:t>
            </w:r>
          </w:p>
        </w:tc>
      </w:tr>
      <w:tr w:rsidR="00352793" w:rsidRPr="00A51547" w14:paraId="51EB44E4" w14:textId="77777777" w:rsidTr="005F3C72">
        <w:trPr>
          <w:trHeight w:val="255"/>
        </w:trPr>
        <w:tc>
          <w:tcPr>
            <w:tcW w:w="5763" w:type="dxa"/>
            <w:shd w:val="clear" w:color="000000" w:fill="FFFFFF"/>
            <w:noWrap/>
            <w:vAlign w:val="center"/>
          </w:tcPr>
          <w:p w14:paraId="529E3310" w14:textId="77777777" w:rsidR="00352793" w:rsidRPr="00A51547" w:rsidRDefault="00352793"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Posizioni lavorative </w:t>
            </w:r>
          </w:p>
        </w:tc>
        <w:tc>
          <w:tcPr>
            <w:tcW w:w="1017" w:type="dxa"/>
            <w:shd w:val="clear" w:color="auto" w:fill="F2F2F2"/>
            <w:noWrap/>
            <w:vAlign w:val="center"/>
          </w:tcPr>
          <w:p w14:paraId="1A19C4EE" w14:textId="77777777"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vAlign w:val="center"/>
          </w:tcPr>
          <w:p w14:paraId="69A4A950" w14:textId="489D1DCC" w:rsidR="00352793" w:rsidRPr="00A51547" w:rsidRDefault="004A738B" w:rsidP="00AC2E33">
            <w:pPr>
              <w:spacing w:before="40" w:after="20"/>
              <w:jc w:val="right"/>
              <w:rPr>
                <w:rFonts w:ascii="Arial Narrow" w:hAnsi="Arial Narrow"/>
                <w:sz w:val="17"/>
                <w:szCs w:val="17"/>
              </w:rPr>
            </w:pPr>
            <w:r w:rsidRPr="00A51547">
              <w:rPr>
                <w:rFonts w:ascii="Arial Narrow" w:hAnsi="Arial Narrow"/>
                <w:sz w:val="17"/>
                <w:szCs w:val="17"/>
              </w:rPr>
              <w:t>138</w:t>
            </w:r>
          </w:p>
        </w:tc>
        <w:tc>
          <w:tcPr>
            <w:tcW w:w="920" w:type="dxa"/>
            <w:gridSpan w:val="2"/>
            <w:shd w:val="clear" w:color="auto" w:fill="F2F2F2"/>
            <w:noWrap/>
            <w:vAlign w:val="center"/>
          </w:tcPr>
          <w:p w14:paraId="3FAA6033" w14:textId="0D41630A"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vAlign w:val="bottom"/>
          </w:tcPr>
          <w:p w14:paraId="063954A1" w14:textId="2A4989F7" w:rsidR="00352793" w:rsidRPr="00A51547" w:rsidRDefault="003C447B" w:rsidP="00AC2E33">
            <w:pPr>
              <w:spacing w:before="40" w:after="20"/>
              <w:jc w:val="right"/>
              <w:rPr>
                <w:rFonts w:ascii="Arial Narrow" w:hAnsi="Arial Narrow"/>
                <w:sz w:val="17"/>
                <w:szCs w:val="17"/>
              </w:rPr>
            </w:pPr>
            <w:r w:rsidRPr="00A51547">
              <w:rPr>
                <w:rFonts w:ascii="Arial Narrow" w:hAnsi="Arial Narrow"/>
                <w:sz w:val="17"/>
                <w:szCs w:val="17"/>
              </w:rPr>
              <w:t>376</w:t>
            </w:r>
          </w:p>
        </w:tc>
        <w:tc>
          <w:tcPr>
            <w:tcW w:w="488" w:type="dxa"/>
            <w:shd w:val="clear" w:color="auto" w:fill="F2F2F2"/>
            <w:noWrap/>
            <w:vAlign w:val="center"/>
          </w:tcPr>
          <w:p w14:paraId="60705EA2" w14:textId="77777777"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r>
      <w:tr w:rsidR="00352793" w:rsidRPr="00A51547" w14:paraId="33C756CC" w14:textId="77777777" w:rsidTr="005F3C72">
        <w:trPr>
          <w:trHeight w:val="255"/>
        </w:trPr>
        <w:tc>
          <w:tcPr>
            <w:tcW w:w="5763" w:type="dxa"/>
            <w:shd w:val="clear" w:color="000000" w:fill="FFFFFF"/>
            <w:noWrap/>
            <w:vAlign w:val="center"/>
          </w:tcPr>
          <w:p w14:paraId="49BEC914" w14:textId="77777777" w:rsidR="00352793" w:rsidRPr="00A51547" w:rsidRDefault="00352793"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Tempo indeterminato (incluso apprendistato)</w:t>
            </w:r>
          </w:p>
        </w:tc>
        <w:tc>
          <w:tcPr>
            <w:tcW w:w="1017" w:type="dxa"/>
            <w:shd w:val="clear" w:color="auto" w:fill="F2F2F2"/>
            <w:noWrap/>
            <w:vAlign w:val="center"/>
          </w:tcPr>
          <w:p w14:paraId="3734CD79" w14:textId="77777777"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vAlign w:val="center"/>
          </w:tcPr>
          <w:p w14:paraId="7FBB6030" w14:textId="0FA1FE97" w:rsidR="00352793" w:rsidRPr="00A51547" w:rsidRDefault="004A738B" w:rsidP="0072313D">
            <w:pPr>
              <w:spacing w:before="40" w:after="20"/>
              <w:jc w:val="right"/>
              <w:rPr>
                <w:rFonts w:ascii="Arial Narrow" w:hAnsi="Arial Narrow"/>
                <w:sz w:val="17"/>
                <w:szCs w:val="17"/>
              </w:rPr>
            </w:pPr>
            <w:r w:rsidRPr="00A51547">
              <w:rPr>
                <w:rFonts w:ascii="Arial Narrow" w:hAnsi="Arial Narrow"/>
                <w:sz w:val="17"/>
                <w:szCs w:val="17"/>
              </w:rPr>
              <w:t>2</w:t>
            </w:r>
            <w:r w:rsidR="00B64494" w:rsidRPr="00A51547">
              <w:rPr>
                <w:rFonts w:ascii="Arial Narrow" w:hAnsi="Arial Narrow"/>
                <w:sz w:val="17"/>
                <w:szCs w:val="17"/>
              </w:rPr>
              <w:t>07</w:t>
            </w:r>
          </w:p>
        </w:tc>
        <w:tc>
          <w:tcPr>
            <w:tcW w:w="920" w:type="dxa"/>
            <w:gridSpan w:val="2"/>
            <w:shd w:val="clear" w:color="auto" w:fill="F2F2F2"/>
            <w:noWrap/>
            <w:vAlign w:val="center"/>
          </w:tcPr>
          <w:p w14:paraId="2FCE1D31" w14:textId="169DE152"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vAlign w:val="bottom"/>
          </w:tcPr>
          <w:p w14:paraId="11429BB3" w14:textId="136640F6" w:rsidR="00352793" w:rsidRPr="00A51547" w:rsidRDefault="003C447B" w:rsidP="00AC2E33">
            <w:pPr>
              <w:spacing w:before="40" w:after="20"/>
              <w:jc w:val="right"/>
              <w:rPr>
                <w:rFonts w:ascii="Arial Narrow" w:hAnsi="Arial Narrow"/>
                <w:sz w:val="17"/>
                <w:szCs w:val="17"/>
              </w:rPr>
            </w:pPr>
            <w:r w:rsidRPr="00A51547">
              <w:rPr>
                <w:rFonts w:ascii="Arial Narrow" w:hAnsi="Arial Narrow"/>
                <w:sz w:val="17"/>
                <w:szCs w:val="17"/>
              </w:rPr>
              <w:t>401</w:t>
            </w:r>
          </w:p>
        </w:tc>
        <w:tc>
          <w:tcPr>
            <w:tcW w:w="488" w:type="dxa"/>
            <w:shd w:val="clear" w:color="auto" w:fill="F2F2F2"/>
            <w:noWrap/>
            <w:vAlign w:val="center"/>
          </w:tcPr>
          <w:p w14:paraId="435BCCA9" w14:textId="77777777"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r>
      <w:tr w:rsidR="00352793" w:rsidRPr="00A51547" w14:paraId="0DD5A42D" w14:textId="77777777" w:rsidTr="005F3C72">
        <w:trPr>
          <w:trHeight w:val="255"/>
        </w:trPr>
        <w:tc>
          <w:tcPr>
            <w:tcW w:w="5763" w:type="dxa"/>
            <w:shd w:val="clear" w:color="000000" w:fill="FFFFFF"/>
            <w:noWrap/>
            <w:vAlign w:val="center"/>
          </w:tcPr>
          <w:p w14:paraId="01599D11" w14:textId="7EC8E0F9" w:rsidR="00352793" w:rsidRPr="00A51547" w:rsidRDefault="00352793"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Tempo determinato (incluso stagionale)</w:t>
            </w:r>
          </w:p>
        </w:tc>
        <w:tc>
          <w:tcPr>
            <w:tcW w:w="1017" w:type="dxa"/>
            <w:shd w:val="clear" w:color="auto" w:fill="F2F2F2"/>
            <w:noWrap/>
            <w:vAlign w:val="center"/>
          </w:tcPr>
          <w:p w14:paraId="65EB3731" w14:textId="77777777"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vAlign w:val="center"/>
          </w:tcPr>
          <w:p w14:paraId="0BB13E7A" w14:textId="1363E002" w:rsidR="00352793" w:rsidRPr="00A51547" w:rsidRDefault="004A738B" w:rsidP="00AC2E33">
            <w:pPr>
              <w:spacing w:before="40" w:after="20"/>
              <w:jc w:val="right"/>
              <w:rPr>
                <w:rFonts w:ascii="Arial Narrow" w:hAnsi="Arial Narrow"/>
                <w:sz w:val="17"/>
                <w:szCs w:val="17"/>
              </w:rPr>
            </w:pPr>
            <w:r w:rsidRPr="00A51547">
              <w:rPr>
                <w:rFonts w:ascii="Arial Narrow" w:hAnsi="Arial Narrow"/>
                <w:sz w:val="17"/>
                <w:szCs w:val="17"/>
              </w:rPr>
              <w:t>-69</w:t>
            </w:r>
          </w:p>
        </w:tc>
        <w:tc>
          <w:tcPr>
            <w:tcW w:w="920" w:type="dxa"/>
            <w:gridSpan w:val="2"/>
            <w:shd w:val="clear" w:color="auto" w:fill="F2F2F2"/>
            <w:noWrap/>
            <w:vAlign w:val="center"/>
          </w:tcPr>
          <w:p w14:paraId="5B6FEBD4" w14:textId="5A1BE53E"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vAlign w:val="bottom"/>
          </w:tcPr>
          <w:p w14:paraId="6FB71455" w14:textId="524FE689" w:rsidR="00352793" w:rsidRPr="00A51547" w:rsidRDefault="003C447B" w:rsidP="00AC2E33">
            <w:pPr>
              <w:spacing w:before="40" w:after="20"/>
              <w:jc w:val="right"/>
              <w:rPr>
                <w:rFonts w:ascii="Arial Narrow" w:hAnsi="Arial Narrow"/>
                <w:sz w:val="17"/>
                <w:szCs w:val="17"/>
              </w:rPr>
            </w:pPr>
            <w:r w:rsidRPr="00A51547">
              <w:rPr>
                <w:rFonts w:ascii="Arial Narrow" w:hAnsi="Arial Narrow"/>
                <w:sz w:val="17"/>
                <w:szCs w:val="17"/>
              </w:rPr>
              <w:t>-24</w:t>
            </w:r>
          </w:p>
        </w:tc>
        <w:tc>
          <w:tcPr>
            <w:tcW w:w="488" w:type="dxa"/>
            <w:shd w:val="clear" w:color="auto" w:fill="F2F2F2"/>
            <w:noWrap/>
            <w:vAlign w:val="center"/>
          </w:tcPr>
          <w:p w14:paraId="5D93E56E" w14:textId="77777777" w:rsidR="00352793" w:rsidRPr="00A51547" w:rsidRDefault="00352793"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r>
      <w:tr w:rsidR="00F8343B" w:rsidRPr="00A51547" w14:paraId="46C5E1F9" w14:textId="77777777" w:rsidTr="00B70CA5">
        <w:trPr>
          <w:trHeight w:val="255"/>
        </w:trPr>
        <w:tc>
          <w:tcPr>
            <w:tcW w:w="9654" w:type="dxa"/>
            <w:gridSpan w:val="7"/>
            <w:shd w:val="clear" w:color="auto" w:fill="17365D"/>
            <w:noWrap/>
            <w:vAlign w:val="center"/>
          </w:tcPr>
          <w:p w14:paraId="58080573" w14:textId="77777777" w:rsidR="00F8343B" w:rsidRPr="00A51547" w:rsidRDefault="00F8343B" w:rsidP="00AC2E33">
            <w:pPr>
              <w:spacing w:before="40" w:after="20"/>
              <w:rPr>
                <w:rFonts w:ascii="Arial Narrow" w:hAnsi="Arial Narrow"/>
                <w:b/>
                <w:bCs/>
                <w:color w:val="FFFFFF"/>
                <w:sz w:val="17"/>
                <w:szCs w:val="17"/>
                <w:lang w:eastAsia="it-IT"/>
              </w:rPr>
            </w:pPr>
            <w:r w:rsidRPr="00A51547">
              <w:rPr>
                <w:rFonts w:ascii="Arial Narrow" w:hAnsi="Arial Narrow"/>
                <w:b/>
                <w:bCs/>
                <w:color w:val="FFFFFF"/>
                <w:sz w:val="17"/>
                <w:szCs w:val="17"/>
                <w:lang w:eastAsia="it-IT"/>
              </w:rPr>
              <w:t xml:space="preserve">DOMANDA DI LAVORO DIPENDENTE - IMPRESE PRIVATE </w:t>
            </w:r>
            <w:r w:rsidRPr="00A51547">
              <w:rPr>
                <w:rFonts w:ascii="Arial Narrow" w:hAnsi="Arial Narrow"/>
                <w:bCs/>
                <w:color w:val="FFFFFF"/>
                <w:sz w:val="17"/>
                <w:szCs w:val="17"/>
                <w:lang w:eastAsia="it-IT"/>
              </w:rPr>
              <w:t>(sezioni B-U Ateco 2007 esclusi operai agricoli e lavoratori domestici)</w:t>
            </w:r>
          </w:p>
        </w:tc>
      </w:tr>
      <w:tr w:rsidR="00F8343B" w:rsidRPr="00A51547" w14:paraId="734D9FB4" w14:textId="77777777" w:rsidTr="00B70CA5">
        <w:trPr>
          <w:trHeight w:val="255"/>
        </w:trPr>
        <w:tc>
          <w:tcPr>
            <w:tcW w:w="9654" w:type="dxa"/>
            <w:gridSpan w:val="7"/>
            <w:shd w:val="clear" w:color="auto" w:fill="FFFFFF"/>
            <w:noWrap/>
            <w:vAlign w:val="center"/>
          </w:tcPr>
          <w:p w14:paraId="307AD517" w14:textId="77777777" w:rsidR="00F8343B" w:rsidRPr="00A51547" w:rsidRDefault="00F8343B" w:rsidP="00AC2E33">
            <w:pPr>
              <w:spacing w:before="40" w:after="20"/>
              <w:rPr>
                <w:rFonts w:ascii="Arial Narrow" w:hAnsi="Arial Narrow"/>
                <w:b/>
                <w:i/>
                <w:iCs/>
                <w:color w:val="17365D"/>
                <w:sz w:val="17"/>
                <w:szCs w:val="17"/>
                <w:lang w:eastAsia="it-IT"/>
              </w:rPr>
            </w:pPr>
            <w:r w:rsidRPr="00A51547">
              <w:rPr>
                <w:rFonts w:ascii="Arial Narrow" w:hAnsi="Arial Narrow"/>
                <w:b/>
                <w:i/>
                <w:iCs/>
                <w:color w:val="17365D"/>
                <w:sz w:val="17"/>
                <w:szCs w:val="17"/>
                <w:lang w:eastAsia="it-IT"/>
              </w:rPr>
              <w:t>Inps, Uniemens</w:t>
            </w:r>
          </w:p>
        </w:tc>
      </w:tr>
      <w:tr w:rsidR="000F432A" w:rsidRPr="00A51547" w14:paraId="1540CD93" w14:textId="77777777" w:rsidTr="003F6291">
        <w:trPr>
          <w:trHeight w:val="255"/>
        </w:trPr>
        <w:tc>
          <w:tcPr>
            <w:tcW w:w="5763" w:type="dxa"/>
            <w:shd w:val="clear" w:color="000000" w:fill="FFFFFF"/>
            <w:noWrap/>
            <w:vAlign w:val="center"/>
          </w:tcPr>
          <w:p w14:paraId="03F4C01E" w14:textId="77777777" w:rsidR="000F432A" w:rsidRPr="00A51547" w:rsidRDefault="000F432A"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Posizioni lavorative </w:t>
            </w:r>
          </w:p>
        </w:tc>
        <w:tc>
          <w:tcPr>
            <w:tcW w:w="1017" w:type="dxa"/>
            <w:shd w:val="clear" w:color="auto" w:fill="F2F2F2"/>
            <w:noWrap/>
            <w:vAlign w:val="center"/>
          </w:tcPr>
          <w:p w14:paraId="5F7AFEF6"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noWrap/>
            <w:vAlign w:val="center"/>
          </w:tcPr>
          <w:p w14:paraId="0C9408D3"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920" w:type="dxa"/>
            <w:gridSpan w:val="2"/>
            <w:shd w:val="clear" w:color="auto" w:fill="F2F2F2"/>
            <w:noWrap/>
            <w:vAlign w:val="center"/>
          </w:tcPr>
          <w:p w14:paraId="3023998B" w14:textId="63D16260"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vAlign w:val="bottom"/>
          </w:tcPr>
          <w:p w14:paraId="60C62510" w14:textId="64DF961A" w:rsidR="000F432A" w:rsidRPr="00A51547" w:rsidRDefault="000F432A" w:rsidP="00AC2E33">
            <w:pPr>
              <w:spacing w:before="40" w:after="20"/>
              <w:jc w:val="right"/>
              <w:rPr>
                <w:rFonts w:ascii="Arial Narrow" w:hAnsi="Arial Narrow"/>
                <w:sz w:val="17"/>
                <w:szCs w:val="17"/>
              </w:rPr>
            </w:pPr>
            <w:r w:rsidRPr="00A51547">
              <w:rPr>
                <w:rFonts w:ascii="Arial Narrow" w:hAnsi="Arial Narrow"/>
                <w:sz w:val="17"/>
                <w:szCs w:val="17"/>
              </w:rPr>
              <w:t>351</w:t>
            </w:r>
          </w:p>
        </w:tc>
        <w:tc>
          <w:tcPr>
            <w:tcW w:w="488" w:type="dxa"/>
            <w:shd w:val="clear" w:color="auto" w:fill="F2F2F2"/>
            <w:noWrap/>
            <w:vAlign w:val="center"/>
          </w:tcPr>
          <w:p w14:paraId="2C88C02A"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r>
      <w:tr w:rsidR="000F432A" w:rsidRPr="00A51547" w14:paraId="0E93C16E" w14:textId="77777777" w:rsidTr="003F6291">
        <w:trPr>
          <w:trHeight w:val="255"/>
        </w:trPr>
        <w:tc>
          <w:tcPr>
            <w:tcW w:w="5763" w:type="dxa"/>
            <w:shd w:val="clear" w:color="000000" w:fill="FFFFFF"/>
            <w:noWrap/>
            <w:vAlign w:val="center"/>
          </w:tcPr>
          <w:p w14:paraId="721B2A5C" w14:textId="77777777" w:rsidR="000F432A" w:rsidRPr="00A51547" w:rsidRDefault="000F432A"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Tempo indeterminato (incluso apprendistato)</w:t>
            </w:r>
          </w:p>
        </w:tc>
        <w:tc>
          <w:tcPr>
            <w:tcW w:w="1017" w:type="dxa"/>
            <w:shd w:val="clear" w:color="auto" w:fill="F2F2F2"/>
            <w:noWrap/>
            <w:vAlign w:val="center"/>
          </w:tcPr>
          <w:p w14:paraId="173500D6"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noWrap/>
            <w:vAlign w:val="center"/>
          </w:tcPr>
          <w:p w14:paraId="676DDD7E"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920" w:type="dxa"/>
            <w:gridSpan w:val="2"/>
            <w:shd w:val="clear" w:color="auto" w:fill="F2F2F2"/>
            <w:noWrap/>
            <w:vAlign w:val="center"/>
          </w:tcPr>
          <w:p w14:paraId="6384C26A" w14:textId="144FDE2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vAlign w:val="bottom"/>
          </w:tcPr>
          <w:p w14:paraId="77235776" w14:textId="1DE2EA67" w:rsidR="000F432A" w:rsidRPr="00A51547" w:rsidRDefault="000F432A" w:rsidP="00AC2E33">
            <w:pPr>
              <w:spacing w:before="40" w:after="20"/>
              <w:jc w:val="right"/>
              <w:rPr>
                <w:rFonts w:ascii="Arial Narrow" w:hAnsi="Arial Narrow"/>
                <w:sz w:val="17"/>
                <w:szCs w:val="17"/>
              </w:rPr>
            </w:pPr>
            <w:r w:rsidRPr="00A51547">
              <w:rPr>
                <w:rFonts w:ascii="Arial Narrow" w:hAnsi="Arial Narrow"/>
                <w:sz w:val="17"/>
                <w:szCs w:val="17"/>
              </w:rPr>
              <w:t>450</w:t>
            </w:r>
          </w:p>
        </w:tc>
        <w:tc>
          <w:tcPr>
            <w:tcW w:w="488" w:type="dxa"/>
            <w:shd w:val="clear" w:color="auto" w:fill="F2F2F2"/>
            <w:noWrap/>
            <w:vAlign w:val="center"/>
          </w:tcPr>
          <w:p w14:paraId="21DF4CD8"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r>
      <w:tr w:rsidR="000F432A" w:rsidRPr="00A51547" w14:paraId="392ABD0E" w14:textId="77777777" w:rsidTr="003F6291">
        <w:trPr>
          <w:trHeight w:val="255"/>
        </w:trPr>
        <w:tc>
          <w:tcPr>
            <w:tcW w:w="5763" w:type="dxa"/>
            <w:shd w:val="clear" w:color="000000" w:fill="FFFFFF"/>
            <w:noWrap/>
            <w:vAlign w:val="center"/>
          </w:tcPr>
          <w:p w14:paraId="55704CF6" w14:textId="0795A921" w:rsidR="000F432A" w:rsidRPr="00A51547" w:rsidRDefault="000F432A"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Tempo determinato (</w:t>
            </w:r>
            <w:r w:rsidRPr="004C4BA0">
              <w:rPr>
                <w:rFonts w:ascii="Arial Narrow" w:hAnsi="Arial Narrow"/>
                <w:color w:val="000000"/>
                <w:sz w:val="17"/>
                <w:szCs w:val="17"/>
                <w:lang w:eastAsia="it-IT"/>
              </w:rPr>
              <w:t>incluso stagional</w:t>
            </w:r>
            <w:r w:rsidR="007C041A" w:rsidRPr="004C4BA0">
              <w:rPr>
                <w:rFonts w:ascii="Arial Narrow" w:hAnsi="Arial Narrow"/>
                <w:color w:val="000000"/>
                <w:sz w:val="17"/>
                <w:szCs w:val="17"/>
                <w:lang w:eastAsia="it-IT"/>
              </w:rPr>
              <w:t>e</w:t>
            </w:r>
            <w:r w:rsidRPr="004C4BA0">
              <w:rPr>
                <w:rFonts w:ascii="Arial Narrow" w:hAnsi="Arial Narrow"/>
                <w:color w:val="000000"/>
                <w:sz w:val="17"/>
                <w:szCs w:val="17"/>
                <w:lang w:eastAsia="it-IT"/>
              </w:rPr>
              <w:t>)</w:t>
            </w:r>
          </w:p>
        </w:tc>
        <w:tc>
          <w:tcPr>
            <w:tcW w:w="1017" w:type="dxa"/>
            <w:shd w:val="clear" w:color="auto" w:fill="F2F2F2"/>
            <w:noWrap/>
            <w:vAlign w:val="center"/>
          </w:tcPr>
          <w:p w14:paraId="50455574"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shd w:val="clear" w:color="auto" w:fill="FFFFFF"/>
            <w:noWrap/>
            <w:vAlign w:val="center"/>
          </w:tcPr>
          <w:p w14:paraId="0EEC260D"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920" w:type="dxa"/>
            <w:gridSpan w:val="2"/>
            <w:shd w:val="clear" w:color="auto" w:fill="F2F2F2"/>
            <w:noWrap/>
            <w:vAlign w:val="center"/>
          </w:tcPr>
          <w:p w14:paraId="0429A9B9" w14:textId="3D81143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c>
          <w:tcPr>
            <w:tcW w:w="733" w:type="dxa"/>
            <w:vAlign w:val="bottom"/>
          </w:tcPr>
          <w:p w14:paraId="4D60CD09" w14:textId="354DF7A4" w:rsidR="000F432A" w:rsidRPr="00A51547" w:rsidRDefault="000F432A" w:rsidP="00AC2E33">
            <w:pPr>
              <w:spacing w:before="40" w:after="20"/>
              <w:jc w:val="right"/>
              <w:rPr>
                <w:rFonts w:ascii="Arial Narrow" w:hAnsi="Arial Narrow"/>
                <w:sz w:val="17"/>
                <w:szCs w:val="17"/>
              </w:rPr>
            </w:pPr>
            <w:r w:rsidRPr="00A51547">
              <w:rPr>
                <w:rFonts w:ascii="Arial Narrow" w:hAnsi="Arial Narrow"/>
                <w:sz w:val="17"/>
                <w:szCs w:val="17"/>
              </w:rPr>
              <w:t>-99</w:t>
            </w:r>
          </w:p>
        </w:tc>
        <w:tc>
          <w:tcPr>
            <w:tcW w:w="488" w:type="dxa"/>
            <w:shd w:val="clear" w:color="auto" w:fill="F2F2F2"/>
            <w:noWrap/>
            <w:vAlign w:val="center"/>
          </w:tcPr>
          <w:p w14:paraId="15A6C044" w14:textId="77777777" w:rsidR="000F432A" w:rsidRPr="00A51547" w:rsidRDefault="000F432A" w:rsidP="00AC2E33">
            <w:pPr>
              <w:spacing w:before="40" w:after="20"/>
              <w:jc w:val="right"/>
              <w:rPr>
                <w:rFonts w:ascii="Arial Narrow" w:hAnsi="Arial Narrow"/>
                <w:sz w:val="17"/>
                <w:szCs w:val="17"/>
                <w:lang w:eastAsia="it-IT"/>
              </w:rPr>
            </w:pPr>
            <w:r w:rsidRPr="00A51547">
              <w:rPr>
                <w:rFonts w:ascii="Arial Narrow" w:hAnsi="Arial Narrow"/>
                <w:sz w:val="17"/>
                <w:szCs w:val="17"/>
                <w:lang w:eastAsia="it-IT"/>
              </w:rPr>
              <w:t>-</w:t>
            </w:r>
          </w:p>
        </w:tc>
      </w:tr>
      <w:tr w:rsidR="00F8343B" w:rsidRPr="00A51547" w14:paraId="1B28BEB2" w14:textId="77777777" w:rsidTr="00B70CA5">
        <w:trPr>
          <w:trHeight w:val="255"/>
        </w:trPr>
        <w:tc>
          <w:tcPr>
            <w:tcW w:w="9654" w:type="dxa"/>
            <w:gridSpan w:val="7"/>
            <w:shd w:val="clear" w:color="auto" w:fill="17365D"/>
            <w:vAlign w:val="center"/>
          </w:tcPr>
          <w:p w14:paraId="37A39F73" w14:textId="6DB974F6" w:rsidR="00F8343B" w:rsidRPr="00A51547" w:rsidRDefault="00F8343B" w:rsidP="00AC2E33">
            <w:pPr>
              <w:spacing w:before="40" w:after="20"/>
              <w:rPr>
                <w:rFonts w:ascii="Arial Narrow" w:hAnsi="Arial Narrow"/>
                <w:b/>
                <w:bCs/>
                <w:color w:val="FFFFFF"/>
                <w:sz w:val="17"/>
                <w:szCs w:val="17"/>
                <w:lang w:eastAsia="it-IT"/>
              </w:rPr>
            </w:pPr>
            <w:r w:rsidRPr="00A51547">
              <w:rPr>
                <w:rFonts w:ascii="Arial Narrow" w:hAnsi="Arial Narrow"/>
                <w:b/>
                <w:bCs/>
                <w:color w:val="FFFFFF"/>
                <w:sz w:val="17"/>
                <w:szCs w:val="17"/>
                <w:lang w:eastAsia="it-IT"/>
              </w:rPr>
              <w:t xml:space="preserve">DOMANDA DI LAVORO DIPENDENTE NELL'INDUSTRIA E NEI SERVIZI </w:t>
            </w:r>
            <w:r w:rsidRPr="00A51547">
              <w:rPr>
                <w:rFonts w:ascii="Arial Narrow" w:hAnsi="Arial Narrow"/>
                <w:color w:val="FFFFFF"/>
                <w:sz w:val="17"/>
                <w:szCs w:val="17"/>
                <w:lang w:eastAsia="it-IT"/>
              </w:rPr>
              <w:t xml:space="preserve"> (sezioni B-S, escluso O Ateco 2007)</w:t>
            </w:r>
          </w:p>
        </w:tc>
      </w:tr>
      <w:tr w:rsidR="00F8343B" w:rsidRPr="00A51547" w14:paraId="798A28C2" w14:textId="77777777" w:rsidTr="00B70CA5">
        <w:trPr>
          <w:trHeight w:val="255"/>
        </w:trPr>
        <w:tc>
          <w:tcPr>
            <w:tcW w:w="9654" w:type="dxa"/>
            <w:gridSpan w:val="7"/>
            <w:shd w:val="clear" w:color="auto" w:fill="FFFFFF"/>
            <w:vAlign w:val="center"/>
          </w:tcPr>
          <w:p w14:paraId="052863D2" w14:textId="77777777" w:rsidR="00F8343B" w:rsidRPr="00A51547" w:rsidRDefault="00F8343B" w:rsidP="00AC2E33">
            <w:pPr>
              <w:spacing w:before="40" w:after="20"/>
              <w:rPr>
                <w:rFonts w:ascii="Arial Narrow" w:hAnsi="Arial Narrow"/>
                <w:b/>
                <w:i/>
                <w:iCs/>
                <w:color w:val="17365D"/>
                <w:sz w:val="17"/>
                <w:szCs w:val="17"/>
                <w:lang w:eastAsia="it-IT"/>
              </w:rPr>
            </w:pPr>
            <w:r w:rsidRPr="00A51547">
              <w:rPr>
                <w:rFonts w:ascii="Arial Narrow" w:hAnsi="Arial Narrow"/>
                <w:b/>
                <w:i/>
                <w:iCs/>
                <w:color w:val="17365D"/>
                <w:sz w:val="17"/>
                <w:szCs w:val="17"/>
                <w:lang w:eastAsia="it-IT"/>
              </w:rPr>
              <w:t xml:space="preserve">Istat, Rilevazione Oros </w:t>
            </w:r>
          </w:p>
        </w:tc>
      </w:tr>
      <w:tr w:rsidR="005673D9" w:rsidRPr="00A51547" w14:paraId="3432B3BA" w14:textId="77777777" w:rsidTr="005673D9">
        <w:trPr>
          <w:trHeight w:val="255"/>
        </w:trPr>
        <w:tc>
          <w:tcPr>
            <w:tcW w:w="5763" w:type="dxa"/>
            <w:shd w:val="clear" w:color="auto" w:fill="FFFFFF"/>
            <w:noWrap/>
            <w:vAlign w:val="center"/>
          </w:tcPr>
          <w:p w14:paraId="444A8087" w14:textId="77777777" w:rsidR="005673D9" w:rsidRPr="00A51547" w:rsidRDefault="005673D9"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Posizioni lavorative </w:t>
            </w:r>
          </w:p>
        </w:tc>
        <w:tc>
          <w:tcPr>
            <w:tcW w:w="1017" w:type="dxa"/>
            <w:shd w:val="clear" w:color="auto" w:fill="F2F2F2"/>
            <w:noWrap/>
          </w:tcPr>
          <w:p w14:paraId="7931A42A" w14:textId="72F8C562"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12.821</w:t>
            </w:r>
          </w:p>
        </w:tc>
        <w:tc>
          <w:tcPr>
            <w:tcW w:w="733" w:type="dxa"/>
            <w:shd w:val="clear" w:color="auto" w:fill="FFFFFF"/>
            <w:noWrap/>
          </w:tcPr>
          <w:p w14:paraId="0073D965" w14:textId="0DBFE85C"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74</w:t>
            </w:r>
          </w:p>
        </w:tc>
        <w:tc>
          <w:tcPr>
            <w:tcW w:w="920" w:type="dxa"/>
            <w:gridSpan w:val="2"/>
            <w:shd w:val="clear" w:color="auto" w:fill="F2F2F2"/>
            <w:noWrap/>
          </w:tcPr>
          <w:p w14:paraId="5F915D1F" w14:textId="76FA1CE4"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0,6</w:t>
            </w:r>
          </w:p>
        </w:tc>
        <w:tc>
          <w:tcPr>
            <w:tcW w:w="733" w:type="dxa"/>
            <w:shd w:val="clear" w:color="auto" w:fill="FFFFFF"/>
            <w:noWrap/>
          </w:tcPr>
          <w:p w14:paraId="66AE47CD" w14:textId="1F06C417"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206</w:t>
            </w:r>
          </w:p>
        </w:tc>
        <w:tc>
          <w:tcPr>
            <w:tcW w:w="488" w:type="dxa"/>
            <w:shd w:val="clear" w:color="auto" w:fill="F2F2F2"/>
            <w:noWrap/>
          </w:tcPr>
          <w:p w14:paraId="47055FA2" w14:textId="7015894F"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1,7</w:t>
            </w:r>
          </w:p>
        </w:tc>
      </w:tr>
      <w:tr w:rsidR="005673D9" w:rsidRPr="00A51547" w14:paraId="3E73D637" w14:textId="77777777" w:rsidTr="005673D9">
        <w:trPr>
          <w:trHeight w:val="255"/>
        </w:trPr>
        <w:tc>
          <w:tcPr>
            <w:tcW w:w="5763" w:type="dxa"/>
            <w:shd w:val="clear" w:color="auto" w:fill="FFFFFF"/>
            <w:noWrap/>
            <w:vAlign w:val="center"/>
          </w:tcPr>
          <w:p w14:paraId="1825B34D" w14:textId="77777777" w:rsidR="005673D9" w:rsidRPr="00A51547" w:rsidRDefault="005673D9" w:rsidP="00AC2E33">
            <w:pPr>
              <w:tabs>
                <w:tab w:val="left" w:pos="305"/>
              </w:tabs>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Industria in senso stretto (B-E)</w:t>
            </w:r>
          </w:p>
        </w:tc>
        <w:tc>
          <w:tcPr>
            <w:tcW w:w="1017" w:type="dxa"/>
            <w:shd w:val="clear" w:color="auto" w:fill="F2F2F2"/>
            <w:noWrap/>
          </w:tcPr>
          <w:p w14:paraId="795C4472" w14:textId="4CB923CE"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3.644</w:t>
            </w:r>
          </w:p>
        </w:tc>
        <w:tc>
          <w:tcPr>
            <w:tcW w:w="733" w:type="dxa"/>
            <w:shd w:val="clear" w:color="auto" w:fill="FFFFFF"/>
            <w:noWrap/>
          </w:tcPr>
          <w:p w14:paraId="63BAC173" w14:textId="2152C662"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20</w:t>
            </w:r>
          </w:p>
        </w:tc>
        <w:tc>
          <w:tcPr>
            <w:tcW w:w="920" w:type="dxa"/>
            <w:gridSpan w:val="2"/>
            <w:shd w:val="clear" w:color="auto" w:fill="F2F2F2"/>
            <w:noWrap/>
          </w:tcPr>
          <w:p w14:paraId="19432997" w14:textId="079ABE84"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0,5</w:t>
            </w:r>
          </w:p>
        </w:tc>
        <w:tc>
          <w:tcPr>
            <w:tcW w:w="733" w:type="dxa"/>
            <w:shd w:val="clear" w:color="auto" w:fill="FFFFFF"/>
            <w:noWrap/>
          </w:tcPr>
          <w:p w14:paraId="409F495E" w14:textId="41E414A2"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49</w:t>
            </w:r>
          </w:p>
        </w:tc>
        <w:tc>
          <w:tcPr>
            <w:tcW w:w="488" w:type="dxa"/>
            <w:shd w:val="clear" w:color="auto" w:fill="F2F2F2"/>
            <w:noWrap/>
          </w:tcPr>
          <w:p w14:paraId="39CE67E0" w14:textId="039ADEBB"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1,4</w:t>
            </w:r>
          </w:p>
        </w:tc>
      </w:tr>
      <w:tr w:rsidR="005673D9" w:rsidRPr="00A51547" w14:paraId="5C2827EB" w14:textId="77777777" w:rsidTr="005673D9">
        <w:trPr>
          <w:trHeight w:val="255"/>
        </w:trPr>
        <w:tc>
          <w:tcPr>
            <w:tcW w:w="5763" w:type="dxa"/>
            <w:shd w:val="clear" w:color="auto" w:fill="FFFFFF"/>
            <w:noWrap/>
            <w:vAlign w:val="center"/>
          </w:tcPr>
          <w:p w14:paraId="7CEDCDA6" w14:textId="77777777" w:rsidR="005673D9" w:rsidRPr="00A51547" w:rsidRDefault="005673D9"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Costruzioni (F)</w:t>
            </w:r>
          </w:p>
        </w:tc>
        <w:tc>
          <w:tcPr>
            <w:tcW w:w="1017" w:type="dxa"/>
            <w:shd w:val="clear" w:color="auto" w:fill="F2F2F2"/>
            <w:noWrap/>
          </w:tcPr>
          <w:p w14:paraId="49F7590F" w14:textId="404A7222"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842</w:t>
            </w:r>
          </w:p>
        </w:tc>
        <w:tc>
          <w:tcPr>
            <w:tcW w:w="733" w:type="dxa"/>
            <w:shd w:val="clear" w:color="auto" w:fill="FFFFFF"/>
            <w:noWrap/>
          </w:tcPr>
          <w:p w14:paraId="312062C0" w14:textId="1A6486FE"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7</w:t>
            </w:r>
          </w:p>
        </w:tc>
        <w:tc>
          <w:tcPr>
            <w:tcW w:w="920" w:type="dxa"/>
            <w:gridSpan w:val="2"/>
            <w:shd w:val="clear" w:color="auto" w:fill="F2F2F2"/>
            <w:noWrap/>
          </w:tcPr>
          <w:p w14:paraId="3E9213D0" w14:textId="6F287E44"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0,9</w:t>
            </w:r>
          </w:p>
        </w:tc>
        <w:tc>
          <w:tcPr>
            <w:tcW w:w="733" w:type="dxa"/>
            <w:shd w:val="clear" w:color="auto" w:fill="FFFFFF"/>
            <w:noWrap/>
          </w:tcPr>
          <w:p w14:paraId="050EF3D3" w14:textId="4E5B0DA8"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18</w:t>
            </w:r>
          </w:p>
        </w:tc>
        <w:tc>
          <w:tcPr>
            <w:tcW w:w="488" w:type="dxa"/>
            <w:shd w:val="clear" w:color="auto" w:fill="F2F2F2"/>
            <w:noWrap/>
          </w:tcPr>
          <w:p w14:paraId="29AC904A" w14:textId="0DA54370"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2,2</w:t>
            </w:r>
          </w:p>
        </w:tc>
      </w:tr>
      <w:tr w:rsidR="005673D9" w:rsidRPr="00A51547" w14:paraId="412B71B1" w14:textId="77777777" w:rsidTr="005673D9">
        <w:trPr>
          <w:trHeight w:val="255"/>
        </w:trPr>
        <w:tc>
          <w:tcPr>
            <w:tcW w:w="5763" w:type="dxa"/>
            <w:shd w:val="clear" w:color="auto" w:fill="FFFFFF"/>
            <w:noWrap/>
            <w:vAlign w:val="center"/>
          </w:tcPr>
          <w:p w14:paraId="0B9055B0" w14:textId="7B6BA7F7" w:rsidR="005673D9" w:rsidRPr="00A51547" w:rsidRDefault="005673D9" w:rsidP="00AC2E33">
            <w:pPr>
              <w:spacing w:before="40" w:after="20"/>
              <w:rPr>
                <w:rFonts w:ascii="Arial Narrow" w:hAnsi="Arial Narrow"/>
                <w:color w:val="000000"/>
                <w:sz w:val="17"/>
                <w:szCs w:val="17"/>
                <w:lang w:eastAsia="it-IT"/>
              </w:rPr>
            </w:pPr>
            <w:r w:rsidRPr="00A51547">
              <w:rPr>
                <w:rFonts w:ascii="Arial Narrow" w:hAnsi="Arial Narrow"/>
                <w:color w:val="000000"/>
                <w:sz w:val="17"/>
                <w:szCs w:val="17"/>
                <w:lang w:eastAsia="it-IT"/>
              </w:rPr>
              <w:t xml:space="preserve">        Servizi (G-S, escluso O)</w:t>
            </w:r>
          </w:p>
        </w:tc>
        <w:tc>
          <w:tcPr>
            <w:tcW w:w="1017" w:type="dxa"/>
            <w:shd w:val="clear" w:color="auto" w:fill="F2F2F2"/>
            <w:noWrap/>
          </w:tcPr>
          <w:p w14:paraId="3B340952" w14:textId="759F828E"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8.336</w:t>
            </w:r>
          </w:p>
        </w:tc>
        <w:tc>
          <w:tcPr>
            <w:tcW w:w="733" w:type="dxa"/>
            <w:shd w:val="clear" w:color="auto" w:fill="FFFFFF"/>
            <w:noWrap/>
          </w:tcPr>
          <w:p w14:paraId="56565419" w14:textId="3868A9F7"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47</w:t>
            </w:r>
          </w:p>
        </w:tc>
        <w:tc>
          <w:tcPr>
            <w:tcW w:w="920" w:type="dxa"/>
            <w:gridSpan w:val="2"/>
            <w:shd w:val="clear" w:color="auto" w:fill="F2F2F2"/>
            <w:noWrap/>
          </w:tcPr>
          <w:p w14:paraId="18AD3A3F" w14:textId="09A0A579"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0,6</w:t>
            </w:r>
          </w:p>
        </w:tc>
        <w:tc>
          <w:tcPr>
            <w:tcW w:w="733" w:type="dxa"/>
            <w:shd w:val="clear" w:color="auto" w:fill="FFFFFF"/>
            <w:noWrap/>
          </w:tcPr>
          <w:p w14:paraId="48A03730" w14:textId="0C021D14"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140</w:t>
            </w:r>
          </w:p>
        </w:tc>
        <w:tc>
          <w:tcPr>
            <w:tcW w:w="488" w:type="dxa"/>
            <w:shd w:val="clear" w:color="auto" w:fill="F2F2F2"/>
            <w:noWrap/>
          </w:tcPr>
          <w:p w14:paraId="4571FE09" w14:textId="660CC62A" w:rsidR="005673D9" w:rsidRPr="00A51547" w:rsidRDefault="005673D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1,8</w:t>
            </w:r>
          </w:p>
        </w:tc>
      </w:tr>
      <w:tr w:rsidR="00E20AA9" w:rsidRPr="00A51547" w14:paraId="74590065" w14:textId="77777777" w:rsidTr="00DA7C36">
        <w:trPr>
          <w:trHeight w:val="255"/>
        </w:trPr>
        <w:tc>
          <w:tcPr>
            <w:tcW w:w="9654" w:type="dxa"/>
            <w:gridSpan w:val="7"/>
            <w:shd w:val="clear" w:color="auto" w:fill="17365D"/>
            <w:vAlign w:val="center"/>
          </w:tcPr>
          <w:p w14:paraId="49E86AE0" w14:textId="52FAC03A" w:rsidR="00E20AA9" w:rsidRPr="00A51547" w:rsidRDefault="00E20AA9" w:rsidP="00AC2E33">
            <w:pPr>
              <w:spacing w:before="40" w:after="20"/>
              <w:rPr>
                <w:rFonts w:ascii="Arial Narrow" w:hAnsi="Arial Narrow"/>
                <w:b/>
                <w:bCs/>
                <w:color w:val="FFFFFF"/>
                <w:sz w:val="17"/>
                <w:szCs w:val="17"/>
                <w:lang w:eastAsia="it-IT"/>
              </w:rPr>
            </w:pPr>
            <w:r w:rsidRPr="00A51547">
              <w:rPr>
                <w:rFonts w:ascii="Arial Narrow" w:hAnsi="Arial Narrow"/>
                <w:b/>
                <w:bCs/>
                <w:color w:val="FFFFFF"/>
                <w:sz w:val="17"/>
                <w:szCs w:val="17"/>
                <w:lang w:eastAsia="it-IT"/>
              </w:rPr>
              <w:t xml:space="preserve">DENUNCE DI INFORTUNIO SUL LAVORO </w:t>
            </w:r>
            <w:r w:rsidRPr="00A51547">
              <w:rPr>
                <w:rFonts w:ascii="Arial Narrow" w:hAnsi="Arial Narrow"/>
                <w:color w:val="FFFFFF"/>
                <w:sz w:val="17"/>
                <w:szCs w:val="17"/>
                <w:lang w:eastAsia="it-IT"/>
              </w:rPr>
              <w:t>(sezioni A-T Ateco 2007, esclusi marittimi; al netto di studenti e casalinghe) (b)</w:t>
            </w:r>
          </w:p>
        </w:tc>
      </w:tr>
      <w:tr w:rsidR="00E20AA9" w:rsidRPr="00A51547" w14:paraId="2C3B4C38" w14:textId="77777777" w:rsidTr="00DA7C36">
        <w:trPr>
          <w:trHeight w:val="255"/>
        </w:trPr>
        <w:tc>
          <w:tcPr>
            <w:tcW w:w="9654" w:type="dxa"/>
            <w:gridSpan w:val="7"/>
            <w:shd w:val="clear" w:color="auto" w:fill="FFFFFF"/>
            <w:vAlign w:val="center"/>
          </w:tcPr>
          <w:p w14:paraId="1571078C" w14:textId="77777777" w:rsidR="00E20AA9" w:rsidRPr="00A51547" w:rsidRDefault="00E20AA9" w:rsidP="00AC2E33">
            <w:pPr>
              <w:spacing w:before="40" w:after="20"/>
              <w:rPr>
                <w:rFonts w:ascii="Arial Narrow" w:hAnsi="Arial Narrow"/>
                <w:b/>
                <w:i/>
                <w:color w:val="17365D"/>
                <w:sz w:val="17"/>
                <w:szCs w:val="17"/>
                <w:lang w:eastAsia="it-IT"/>
              </w:rPr>
            </w:pPr>
            <w:r w:rsidRPr="00A51547">
              <w:rPr>
                <w:rFonts w:ascii="Arial Narrow" w:hAnsi="Arial Narrow"/>
                <w:b/>
                <w:i/>
                <w:color w:val="17365D"/>
                <w:sz w:val="17"/>
                <w:szCs w:val="17"/>
                <w:lang w:eastAsia="it-IT"/>
              </w:rPr>
              <w:t>Inail, Open data mensili</w:t>
            </w:r>
          </w:p>
        </w:tc>
      </w:tr>
      <w:tr w:rsidR="00E20AA9" w:rsidRPr="00A51547" w14:paraId="1E4A0769" w14:textId="77777777" w:rsidTr="00DA7C36">
        <w:trPr>
          <w:trHeight w:val="255"/>
        </w:trPr>
        <w:tc>
          <w:tcPr>
            <w:tcW w:w="5763" w:type="dxa"/>
            <w:noWrap/>
            <w:vAlign w:val="center"/>
          </w:tcPr>
          <w:p w14:paraId="79E7C952" w14:textId="45C7F1B7"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 xml:space="preserve">Numero di denunce di infortunio </w:t>
            </w:r>
            <w:r w:rsidR="00193C37" w:rsidRPr="00A51547">
              <w:rPr>
                <w:rFonts w:ascii="Arial Narrow" w:hAnsi="Arial Narrow"/>
                <w:sz w:val="17"/>
                <w:szCs w:val="17"/>
                <w:lang w:eastAsia="it-IT"/>
              </w:rPr>
              <w:t>totali</w:t>
            </w:r>
            <w:r w:rsidR="004A738B" w:rsidRPr="00A51547">
              <w:rPr>
                <w:rFonts w:ascii="Arial Narrow" w:hAnsi="Arial Narrow"/>
                <w:sz w:val="17"/>
                <w:szCs w:val="17"/>
                <w:lang w:eastAsia="it-IT"/>
              </w:rPr>
              <w:t xml:space="preserve"> (valori in migliaia)</w:t>
            </w:r>
          </w:p>
        </w:tc>
        <w:tc>
          <w:tcPr>
            <w:tcW w:w="1017" w:type="dxa"/>
            <w:shd w:val="clear" w:color="auto" w:fill="F2F2F2"/>
            <w:noWrap/>
            <w:vAlign w:val="center"/>
          </w:tcPr>
          <w:p w14:paraId="4C234BD8" w14:textId="33B5FEC5"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131</w:t>
            </w:r>
          </w:p>
        </w:tc>
        <w:tc>
          <w:tcPr>
            <w:tcW w:w="733" w:type="dxa"/>
            <w:noWrap/>
            <w:vAlign w:val="center"/>
          </w:tcPr>
          <w:p w14:paraId="01217D75" w14:textId="3B6FDF2E"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7CD698C3" w14:textId="00886C17"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4FAF77F0" w14:textId="0EB6DF2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2 </w:t>
            </w:r>
          </w:p>
        </w:tc>
        <w:tc>
          <w:tcPr>
            <w:tcW w:w="488" w:type="dxa"/>
            <w:shd w:val="clear" w:color="auto" w:fill="F2F2F2"/>
            <w:noWrap/>
            <w:vAlign w:val="center"/>
          </w:tcPr>
          <w:p w14:paraId="19990463" w14:textId="2829F316"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1,7</w:t>
            </w:r>
          </w:p>
        </w:tc>
      </w:tr>
      <w:tr w:rsidR="00E20AA9" w:rsidRPr="00A51547" w14:paraId="7BDCAD72" w14:textId="77777777" w:rsidTr="00DA7C36">
        <w:trPr>
          <w:trHeight w:val="255"/>
        </w:trPr>
        <w:tc>
          <w:tcPr>
            <w:tcW w:w="5763" w:type="dxa"/>
            <w:noWrap/>
            <w:vAlign w:val="center"/>
          </w:tcPr>
          <w:p w14:paraId="190AF886" w14:textId="77777777"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 xml:space="preserve">      in occasione di lavoro</w:t>
            </w:r>
          </w:p>
        </w:tc>
        <w:tc>
          <w:tcPr>
            <w:tcW w:w="1017" w:type="dxa"/>
            <w:shd w:val="clear" w:color="auto" w:fill="F2F2F2"/>
            <w:noWrap/>
            <w:vAlign w:val="center"/>
          </w:tcPr>
          <w:p w14:paraId="54ECFB0E" w14:textId="214866DD"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109</w:t>
            </w:r>
          </w:p>
        </w:tc>
        <w:tc>
          <w:tcPr>
            <w:tcW w:w="733" w:type="dxa"/>
            <w:noWrap/>
            <w:vAlign w:val="center"/>
          </w:tcPr>
          <w:p w14:paraId="226821C7" w14:textId="786AFCF4"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0FE49308" w14:textId="64FECC2D"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4EE9552D" w14:textId="7B4ECED9"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1 </w:t>
            </w:r>
          </w:p>
        </w:tc>
        <w:tc>
          <w:tcPr>
            <w:tcW w:w="488" w:type="dxa"/>
            <w:shd w:val="clear" w:color="auto" w:fill="F2F2F2"/>
            <w:noWrap/>
            <w:vAlign w:val="center"/>
          </w:tcPr>
          <w:p w14:paraId="68756CD2" w14:textId="6EC988BD"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0,8</w:t>
            </w:r>
          </w:p>
        </w:tc>
      </w:tr>
      <w:tr w:rsidR="00E20AA9" w:rsidRPr="00A51547" w14:paraId="7BFC5EF7" w14:textId="77777777" w:rsidTr="00DA7C36">
        <w:trPr>
          <w:trHeight w:val="255"/>
        </w:trPr>
        <w:tc>
          <w:tcPr>
            <w:tcW w:w="5763" w:type="dxa"/>
            <w:noWrap/>
            <w:vAlign w:val="center"/>
          </w:tcPr>
          <w:p w14:paraId="5BF6E39A" w14:textId="77777777"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 xml:space="preserve">      in itinere</w:t>
            </w:r>
          </w:p>
        </w:tc>
        <w:tc>
          <w:tcPr>
            <w:tcW w:w="1017" w:type="dxa"/>
            <w:shd w:val="clear" w:color="auto" w:fill="F2F2F2"/>
            <w:noWrap/>
            <w:vAlign w:val="center"/>
          </w:tcPr>
          <w:p w14:paraId="29866815" w14:textId="5748B5E5"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22</w:t>
            </w:r>
          </w:p>
        </w:tc>
        <w:tc>
          <w:tcPr>
            <w:tcW w:w="733" w:type="dxa"/>
            <w:noWrap/>
            <w:vAlign w:val="center"/>
          </w:tcPr>
          <w:p w14:paraId="2453BF01" w14:textId="3B106EAD"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3BD346E1" w14:textId="4AFFF1A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33530473" w14:textId="41AFE713"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1 </w:t>
            </w:r>
          </w:p>
        </w:tc>
        <w:tc>
          <w:tcPr>
            <w:tcW w:w="488" w:type="dxa"/>
            <w:shd w:val="clear" w:color="auto" w:fill="F2F2F2"/>
            <w:noWrap/>
            <w:vAlign w:val="center"/>
          </w:tcPr>
          <w:p w14:paraId="12DE7A09" w14:textId="0BF0AAB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6,6</w:t>
            </w:r>
          </w:p>
        </w:tc>
      </w:tr>
      <w:tr w:rsidR="00E20AA9" w:rsidRPr="00A51547" w14:paraId="17171933" w14:textId="77777777" w:rsidTr="00B70CA5">
        <w:trPr>
          <w:trHeight w:val="255"/>
        </w:trPr>
        <w:tc>
          <w:tcPr>
            <w:tcW w:w="5763" w:type="dxa"/>
            <w:noWrap/>
            <w:vAlign w:val="center"/>
          </w:tcPr>
          <w:p w14:paraId="0D07C431" w14:textId="0E90291D"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Numero di denunce di infortunio con esito mortale (valori all’unità)</w:t>
            </w:r>
          </w:p>
        </w:tc>
        <w:tc>
          <w:tcPr>
            <w:tcW w:w="1017" w:type="dxa"/>
            <w:shd w:val="clear" w:color="auto" w:fill="F2F2F2"/>
            <w:noWrap/>
            <w:vAlign w:val="center"/>
          </w:tcPr>
          <w:p w14:paraId="7DFE4CAF" w14:textId="40D647B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212</w:t>
            </w:r>
          </w:p>
        </w:tc>
        <w:tc>
          <w:tcPr>
            <w:tcW w:w="733" w:type="dxa"/>
            <w:noWrap/>
            <w:vAlign w:val="center"/>
          </w:tcPr>
          <w:p w14:paraId="1FD0E151" w14:textId="0B399540"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3777E427" w14:textId="420F723D"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0D78899B" w14:textId="096A5547"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0 </w:t>
            </w:r>
          </w:p>
        </w:tc>
        <w:tc>
          <w:tcPr>
            <w:tcW w:w="488" w:type="dxa"/>
            <w:shd w:val="clear" w:color="auto" w:fill="F2F2F2"/>
            <w:noWrap/>
            <w:vAlign w:val="center"/>
          </w:tcPr>
          <w:p w14:paraId="6443C630" w14:textId="3BA7EA7F"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w:t>
            </w:r>
          </w:p>
        </w:tc>
      </w:tr>
      <w:tr w:rsidR="00E20AA9" w:rsidRPr="00A51547" w14:paraId="29F0F72A" w14:textId="77777777" w:rsidTr="00B70CA5">
        <w:trPr>
          <w:trHeight w:val="255"/>
        </w:trPr>
        <w:tc>
          <w:tcPr>
            <w:tcW w:w="5763" w:type="dxa"/>
            <w:noWrap/>
            <w:vAlign w:val="center"/>
          </w:tcPr>
          <w:p w14:paraId="6C2E735F" w14:textId="77777777"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 xml:space="preserve">      in occasione di lavoro</w:t>
            </w:r>
          </w:p>
        </w:tc>
        <w:tc>
          <w:tcPr>
            <w:tcW w:w="1017" w:type="dxa"/>
            <w:shd w:val="clear" w:color="auto" w:fill="F2F2F2"/>
            <w:noWrap/>
            <w:vAlign w:val="center"/>
          </w:tcPr>
          <w:p w14:paraId="4D0CE60B" w14:textId="12F71FD4"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144</w:t>
            </w:r>
          </w:p>
        </w:tc>
        <w:tc>
          <w:tcPr>
            <w:tcW w:w="733" w:type="dxa"/>
            <w:noWrap/>
            <w:vAlign w:val="center"/>
          </w:tcPr>
          <w:p w14:paraId="02E20872" w14:textId="0A1BACCC"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7A649FC5" w14:textId="156844D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01523930" w14:textId="30052824"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-1 </w:t>
            </w:r>
          </w:p>
        </w:tc>
        <w:tc>
          <w:tcPr>
            <w:tcW w:w="488" w:type="dxa"/>
            <w:shd w:val="clear" w:color="auto" w:fill="F2F2F2"/>
            <w:noWrap/>
            <w:vAlign w:val="center"/>
          </w:tcPr>
          <w:p w14:paraId="4A689A36" w14:textId="7C7166E4"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-0,7</w:t>
            </w:r>
          </w:p>
        </w:tc>
      </w:tr>
      <w:tr w:rsidR="00E20AA9" w:rsidRPr="00A51547" w14:paraId="30EFF712" w14:textId="77777777" w:rsidTr="00B70CA5">
        <w:trPr>
          <w:trHeight w:val="255"/>
        </w:trPr>
        <w:tc>
          <w:tcPr>
            <w:tcW w:w="5763" w:type="dxa"/>
            <w:noWrap/>
            <w:vAlign w:val="center"/>
          </w:tcPr>
          <w:p w14:paraId="1C46DAA1" w14:textId="77777777"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 xml:space="preserve">      in itinere</w:t>
            </w:r>
          </w:p>
        </w:tc>
        <w:tc>
          <w:tcPr>
            <w:tcW w:w="1017" w:type="dxa"/>
            <w:shd w:val="clear" w:color="auto" w:fill="F2F2F2"/>
            <w:noWrap/>
            <w:vAlign w:val="center"/>
          </w:tcPr>
          <w:p w14:paraId="653E1A31" w14:textId="0162CB3F"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68</w:t>
            </w:r>
          </w:p>
        </w:tc>
        <w:tc>
          <w:tcPr>
            <w:tcW w:w="733" w:type="dxa"/>
            <w:noWrap/>
            <w:vAlign w:val="center"/>
          </w:tcPr>
          <w:p w14:paraId="1A7FC37D" w14:textId="35A96713"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3E1DE82C" w14:textId="4D08B9B7"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1C60B3FB" w14:textId="69D424B2"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1 </w:t>
            </w:r>
          </w:p>
        </w:tc>
        <w:tc>
          <w:tcPr>
            <w:tcW w:w="488" w:type="dxa"/>
            <w:shd w:val="clear" w:color="auto" w:fill="F2F2F2"/>
            <w:noWrap/>
            <w:vAlign w:val="center"/>
          </w:tcPr>
          <w:p w14:paraId="44E56F69" w14:textId="6C162F6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1,5</w:t>
            </w:r>
          </w:p>
        </w:tc>
      </w:tr>
      <w:tr w:rsidR="00C65241" w:rsidRPr="00A51547" w14:paraId="458494DC" w14:textId="77777777" w:rsidTr="00CF39E0">
        <w:trPr>
          <w:trHeight w:val="255"/>
        </w:trPr>
        <w:tc>
          <w:tcPr>
            <w:tcW w:w="9654" w:type="dxa"/>
            <w:gridSpan w:val="7"/>
            <w:shd w:val="clear" w:color="auto" w:fill="17365D"/>
            <w:vAlign w:val="center"/>
          </w:tcPr>
          <w:p w14:paraId="0E9D59A4" w14:textId="79DED028" w:rsidR="00C65241" w:rsidRPr="00A51547" w:rsidRDefault="00C65241" w:rsidP="00AC2E33">
            <w:pPr>
              <w:spacing w:before="40" w:after="20"/>
              <w:jc w:val="left"/>
              <w:rPr>
                <w:rFonts w:ascii="Arial Narrow" w:hAnsi="Arial Narrow"/>
                <w:sz w:val="17"/>
                <w:szCs w:val="17"/>
              </w:rPr>
            </w:pPr>
            <w:r w:rsidRPr="00A51547">
              <w:rPr>
                <w:rFonts w:ascii="Arial Narrow" w:hAnsi="Arial Narrow"/>
                <w:b/>
                <w:bCs/>
                <w:color w:val="FFFFFF"/>
                <w:sz w:val="17"/>
                <w:szCs w:val="17"/>
                <w:lang w:eastAsia="it-IT"/>
              </w:rPr>
              <w:t>DENUNCE DI MALATTIA PROFESSIONALE</w:t>
            </w:r>
            <w:r w:rsidRPr="00A51547">
              <w:rPr>
                <w:rFonts w:ascii="Arial Narrow" w:hAnsi="Arial Narrow"/>
                <w:sz w:val="17"/>
                <w:szCs w:val="17"/>
              </w:rPr>
              <w:t xml:space="preserve"> (sezioni A-T Ateco 2007, esclusi marittimi; al netto di studenti) (b)</w:t>
            </w:r>
          </w:p>
        </w:tc>
      </w:tr>
      <w:tr w:rsidR="00C65241" w:rsidRPr="00A51547" w14:paraId="78FCE6E4" w14:textId="77777777" w:rsidTr="00CF39E0">
        <w:trPr>
          <w:trHeight w:val="255"/>
        </w:trPr>
        <w:tc>
          <w:tcPr>
            <w:tcW w:w="9654" w:type="dxa"/>
            <w:gridSpan w:val="7"/>
            <w:shd w:val="clear" w:color="auto" w:fill="FFFFFF"/>
            <w:vAlign w:val="center"/>
          </w:tcPr>
          <w:p w14:paraId="04DBA2B0" w14:textId="77777777" w:rsidR="00C65241" w:rsidRPr="00A51547" w:rsidRDefault="00C65241" w:rsidP="00AC2E33">
            <w:pPr>
              <w:spacing w:before="40" w:after="20"/>
              <w:rPr>
                <w:rFonts w:ascii="Arial Narrow" w:hAnsi="Arial Narrow"/>
                <w:b/>
                <w:i/>
                <w:color w:val="17365D"/>
                <w:sz w:val="17"/>
                <w:szCs w:val="17"/>
                <w:lang w:eastAsia="it-IT"/>
              </w:rPr>
            </w:pPr>
            <w:r w:rsidRPr="00A51547">
              <w:rPr>
                <w:rFonts w:ascii="Arial Narrow" w:hAnsi="Arial Narrow"/>
                <w:b/>
                <w:i/>
                <w:color w:val="17365D"/>
                <w:sz w:val="17"/>
                <w:szCs w:val="17"/>
                <w:lang w:eastAsia="it-IT"/>
              </w:rPr>
              <w:t>Inail, Open data mensili</w:t>
            </w:r>
          </w:p>
        </w:tc>
      </w:tr>
      <w:tr w:rsidR="00E20AA9" w:rsidRPr="00A51547" w14:paraId="28B5A1B0" w14:textId="77777777" w:rsidTr="00B70CA5">
        <w:trPr>
          <w:trHeight w:val="255"/>
        </w:trPr>
        <w:tc>
          <w:tcPr>
            <w:tcW w:w="5763" w:type="dxa"/>
            <w:noWrap/>
            <w:vAlign w:val="center"/>
          </w:tcPr>
          <w:p w14:paraId="1645E806" w14:textId="3D56D319" w:rsidR="00E20AA9" w:rsidRPr="00A51547" w:rsidRDefault="00E20AA9" w:rsidP="00AC2E33">
            <w:pPr>
              <w:spacing w:before="40" w:after="20"/>
              <w:rPr>
                <w:rFonts w:ascii="Arial Narrow" w:hAnsi="Arial Narrow"/>
                <w:sz w:val="17"/>
                <w:szCs w:val="17"/>
                <w:lang w:eastAsia="it-IT"/>
              </w:rPr>
            </w:pPr>
            <w:r w:rsidRPr="00A51547">
              <w:rPr>
                <w:rFonts w:ascii="Arial Narrow" w:hAnsi="Arial Narrow"/>
                <w:sz w:val="17"/>
                <w:szCs w:val="17"/>
                <w:lang w:eastAsia="it-IT"/>
              </w:rPr>
              <w:t>Numero di denunce di malattia professionale (valori all'unità)</w:t>
            </w:r>
          </w:p>
        </w:tc>
        <w:tc>
          <w:tcPr>
            <w:tcW w:w="1017" w:type="dxa"/>
            <w:shd w:val="clear" w:color="auto" w:fill="F2F2F2"/>
            <w:noWrap/>
            <w:vAlign w:val="center"/>
          </w:tcPr>
          <w:p w14:paraId="12E2E12C" w14:textId="1173CA02"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15.900</w:t>
            </w:r>
          </w:p>
        </w:tc>
        <w:tc>
          <w:tcPr>
            <w:tcW w:w="733" w:type="dxa"/>
            <w:noWrap/>
            <w:vAlign w:val="center"/>
          </w:tcPr>
          <w:p w14:paraId="24E50C8C" w14:textId="4368F019"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920" w:type="dxa"/>
            <w:gridSpan w:val="2"/>
            <w:shd w:val="clear" w:color="auto" w:fill="F2F2F2"/>
            <w:noWrap/>
            <w:vAlign w:val="center"/>
          </w:tcPr>
          <w:p w14:paraId="021F117F" w14:textId="5B2870C1"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w:t>
            </w:r>
          </w:p>
        </w:tc>
        <w:tc>
          <w:tcPr>
            <w:tcW w:w="733" w:type="dxa"/>
            <w:noWrap/>
            <w:vAlign w:val="center"/>
          </w:tcPr>
          <w:p w14:paraId="7CEEDA8F" w14:textId="2A4B2078"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 xml:space="preserve">-224 </w:t>
            </w:r>
          </w:p>
        </w:tc>
        <w:tc>
          <w:tcPr>
            <w:tcW w:w="488" w:type="dxa"/>
            <w:shd w:val="clear" w:color="auto" w:fill="F2F2F2"/>
            <w:noWrap/>
            <w:vAlign w:val="center"/>
          </w:tcPr>
          <w:p w14:paraId="7243A8F5" w14:textId="12630DD4" w:rsidR="00E20AA9" w:rsidRPr="00A51547" w:rsidRDefault="00E20AA9" w:rsidP="00AC2E33">
            <w:pPr>
              <w:spacing w:before="40" w:after="20"/>
              <w:jc w:val="right"/>
              <w:rPr>
                <w:rFonts w:ascii="Arial Narrow" w:hAnsi="Arial Narrow" w:cs="Calibri"/>
                <w:color w:val="000000"/>
                <w:sz w:val="17"/>
                <w:szCs w:val="17"/>
                <w:lang w:eastAsia="it-IT"/>
              </w:rPr>
            </w:pPr>
            <w:r w:rsidRPr="00A51547">
              <w:rPr>
                <w:rFonts w:ascii="Arial Narrow" w:hAnsi="Arial Narrow" w:cs="Calibri"/>
                <w:color w:val="000000"/>
                <w:sz w:val="17"/>
                <w:szCs w:val="17"/>
                <w:lang w:eastAsia="it-IT"/>
              </w:rPr>
              <w:t>-1,4</w:t>
            </w:r>
          </w:p>
        </w:tc>
      </w:tr>
    </w:tbl>
    <w:p w14:paraId="00E644E9" w14:textId="77777777" w:rsidR="00314B49" w:rsidRPr="00A51547" w:rsidRDefault="00214418" w:rsidP="00BF56E1">
      <w:pPr>
        <w:pStyle w:val="titoletto"/>
        <w:spacing w:before="60" w:after="0"/>
        <w:rPr>
          <w:rFonts w:ascii="Arial Narrow" w:hAnsi="Arial Narrow" w:cs="Times New Roman"/>
          <w:b w:val="0"/>
          <w:bCs w:val="0"/>
          <w:iCs/>
          <w:color w:val="000000"/>
          <w:sz w:val="15"/>
          <w:szCs w:val="15"/>
          <w:lang w:eastAsia="it-IT"/>
        </w:rPr>
      </w:pPr>
      <w:r w:rsidRPr="00A51547">
        <w:rPr>
          <w:rFonts w:ascii="Arial Narrow" w:hAnsi="Arial Narrow" w:cs="Times New Roman"/>
          <w:b w:val="0"/>
          <w:bCs w:val="0"/>
          <w:iCs/>
          <w:color w:val="000000"/>
          <w:sz w:val="15"/>
          <w:szCs w:val="15"/>
          <w:lang w:eastAsia="it-IT"/>
        </w:rPr>
        <w:t xml:space="preserve">(a) A seguito degli arrotondamenti alle migliaia, i totali potrebbero non coincidere </w:t>
      </w:r>
      <w:r w:rsidR="00010A6F" w:rsidRPr="00A51547">
        <w:rPr>
          <w:rFonts w:ascii="Arial Narrow" w:hAnsi="Arial Narrow" w:cs="Times New Roman"/>
          <w:b w:val="0"/>
          <w:bCs w:val="0"/>
          <w:iCs/>
          <w:color w:val="000000"/>
          <w:sz w:val="15"/>
          <w:szCs w:val="15"/>
          <w:lang w:eastAsia="it-IT"/>
        </w:rPr>
        <w:t>con la somma dei singoli addendi</w:t>
      </w:r>
    </w:p>
    <w:p w14:paraId="1CEE4A2E" w14:textId="6FD180B6" w:rsidR="004176C3" w:rsidRPr="00A4252C" w:rsidRDefault="00214418" w:rsidP="00BF56E1">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kern w:val="28"/>
          <w:sz w:val="15"/>
          <w:szCs w:val="15"/>
        </w:rPr>
      </w:pPr>
      <w:r w:rsidRPr="00A51547">
        <w:rPr>
          <w:rFonts w:ascii="Arial Narrow" w:hAnsi="Arial Narrow" w:cs="Arial"/>
          <w:kern w:val="28"/>
          <w:sz w:val="15"/>
          <w:szCs w:val="15"/>
        </w:rPr>
        <w:t>(b</w:t>
      </w:r>
      <w:r w:rsidR="004176C3" w:rsidRPr="00A51547">
        <w:rPr>
          <w:rFonts w:ascii="Arial Narrow" w:hAnsi="Arial Narrow" w:cs="Arial"/>
          <w:kern w:val="28"/>
          <w:sz w:val="15"/>
          <w:szCs w:val="15"/>
        </w:rPr>
        <w:t>)</w:t>
      </w:r>
      <w:r w:rsidR="00BD0887" w:rsidRPr="00A51547">
        <w:rPr>
          <w:rFonts w:ascii="Arial Narrow" w:hAnsi="Arial Narrow" w:cs="Arial"/>
          <w:kern w:val="28"/>
          <w:sz w:val="15"/>
          <w:szCs w:val="15"/>
        </w:rPr>
        <w:t xml:space="preserve"> </w:t>
      </w:r>
      <w:r w:rsidR="004176C3" w:rsidRPr="00A51547">
        <w:rPr>
          <w:rFonts w:ascii="Arial Narrow" w:hAnsi="Arial Narrow" w:cs="Arial"/>
          <w:kern w:val="28"/>
          <w:sz w:val="15"/>
          <w:szCs w:val="15"/>
        </w:rPr>
        <w:t xml:space="preserve">I dati sulle denunce di infortunio sul lavoro </w:t>
      </w:r>
      <w:r w:rsidR="007E1C87" w:rsidRPr="00A51547">
        <w:rPr>
          <w:rFonts w:ascii="Arial Narrow" w:hAnsi="Arial Narrow" w:cs="Arial"/>
          <w:kern w:val="28"/>
          <w:sz w:val="15"/>
          <w:szCs w:val="15"/>
        </w:rPr>
        <w:t xml:space="preserve">e di malattia professionale </w:t>
      </w:r>
      <w:r w:rsidR="004176C3" w:rsidRPr="00A51547">
        <w:rPr>
          <w:rFonts w:ascii="Arial Narrow" w:hAnsi="Arial Narrow" w:cs="Arial"/>
          <w:kern w:val="28"/>
          <w:sz w:val="15"/>
          <w:szCs w:val="15"/>
        </w:rPr>
        <w:t>sono non destagionalizzati</w:t>
      </w:r>
    </w:p>
    <w:p w14:paraId="5EAA14F9" w14:textId="2530871C" w:rsidR="00BF56E1" w:rsidRPr="00A4252C" w:rsidRDefault="00BF56E1">
      <w:pPr>
        <w:spacing w:after="0"/>
        <w:jc w:val="left"/>
        <w:rPr>
          <w:rFonts w:ascii="Arial Narrow" w:hAnsi="Arial Narrow" w:cs="Arial"/>
          <w:kern w:val="28"/>
          <w:sz w:val="15"/>
          <w:szCs w:val="15"/>
        </w:rPr>
      </w:pPr>
      <w:r w:rsidRPr="00A4252C">
        <w:rPr>
          <w:rFonts w:ascii="Arial Narrow" w:hAnsi="Arial Narrow" w:cs="Arial"/>
          <w:kern w:val="28"/>
          <w:sz w:val="15"/>
          <w:szCs w:val="15"/>
        </w:rPr>
        <w:br w:type="page"/>
      </w:r>
    </w:p>
    <w:p w14:paraId="53A32D02" w14:textId="3EE1BA2B" w:rsidR="003C0DC8" w:rsidRPr="00A51547" w:rsidRDefault="004176C3" w:rsidP="000C238C">
      <w:pPr>
        <w:spacing w:after="200" w:line="276" w:lineRule="auto"/>
        <w:jc w:val="left"/>
        <w:rPr>
          <w:rFonts w:ascii="Arial Narrow" w:hAnsi="Arial Narrow" w:cs="Arial"/>
          <w:kern w:val="28"/>
          <w:sz w:val="19"/>
          <w:szCs w:val="19"/>
        </w:rPr>
      </w:pPr>
      <w:r w:rsidRPr="00A4252C">
        <w:rPr>
          <w:rFonts w:ascii="Arial Narrow" w:hAnsi="Arial Narrow" w:cs="Arial"/>
          <w:b/>
          <w:color w:val="17365D"/>
          <w:kern w:val="28"/>
        </w:rPr>
        <w:lastRenderedPageBreak/>
        <w:t xml:space="preserve">FIGURA 1. ATTIVAZIONI E CESSAZIONI, POSIZIONI LAVORATIVE </w:t>
      </w:r>
      <w:r w:rsidR="000B7109">
        <w:rPr>
          <w:rFonts w:ascii="Arial Narrow" w:hAnsi="Arial Narrow" w:cs="Arial"/>
          <w:b/>
          <w:color w:val="17365D"/>
          <w:kern w:val="28"/>
        </w:rPr>
        <w:t xml:space="preserve">(a) </w:t>
      </w:r>
      <w:r w:rsidRPr="00A4252C">
        <w:rPr>
          <w:rFonts w:ascii="Arial Narrow" w:hAnsi="Arial Narrow" w:cs="Arial"/>
          <w:b/>
          <w:color w:val="17365D"/>
          <w:kern w:val="28"/>
        </w:rPr>
        <w:t>DIPENDENTI PER TIPOLOGIA</w:t>
      </w:r>
      <w:r w:rsidR="00BF56E1" w:rsidRPr="00A4252C">
        <w:rPr>
          <w:rFonts w:ascii="Arial Narrow" w:hAnsi="Arial Narrow" w:cs="Arial"/>
          <w:b/>
          <w:color w:val="17365D"/>
          <w:kern w:val="28"/>
        </w:rPr>
        <w:t xml:space="preserve"> DI CONTRATTO </w:t>
      </w:r>
      <w:r w:rsidR="00BF56E1" w:rsidRPr="00A51547">
        <w:rPr>
          <w:rFonts w:ascii="Arial Narrow" w:hAnsi="Arial Narrow" w:cs="Arial"/>
          <w:b/>
          <w:color w:val="17365D"/>
          <w:kern w:val="28"/>
        </w:rPr>
        <w:t>DELL’OCCUPAZIONE.</w:t>
      </w:r>
      <w:r w:rsidR="00CE3490" w:rsidRPr="00A51547">
        <w:rPr>
          <w:rFonts w:ascii="Arial Narrow" w:hAnsi="Arial Narrow" w:cs="Arial"/>
          <w:b/>
          <w:color w:val="17365D"/>
          <w:kern w:val="28"/>
        </w:rPr>
        <w:t xml:space="preserve"> </w:t>
      </w:r>
      <w:r w:rsidRPr="00A51547">
        <w:rPr>
          <w:rFonts w:ascii="Arial Narrow" w:hAnsi="Arial Narrow" w:cs="Arial"/>
          <w:kern w:val="28"/>
          <w:sz w:val="19"/>
          <w:szCs w:val="19"/>
        </w:rPr>
        <w:t>I trim. 201</w:t>
      </w:r>
      <w:r w:rsidR="00D55550" w:rsidRPr="00A51547">
        <w:rPr>
          <w:rFonts w:ascii="Arial Narrow" w:hAnsi="Arial Narrow" w:cs="Arial"/>
          <w:kern w:val="28"/>
          <w:sz w:val="19"/>
          <w:szCs w:val="19"/>
        </w:rPr>
        <w:t>4</w:t>
      </w:r>
      <w:r w:rsidRPr="00A51547">
        <w:rPr>
          <w:rFonts w:ascii="Arial Narrow" w:hAnsi="Arial Narrow" w:cs="Arial"/>
          <w:kern w:val="28"/>
          <w:sz w:val="19"/>
          <w:szCs w:val="19"/>
        </w:rPr>
        <w:t xml:space="preserve"> – I trim. 201</w:t>
      </w:r>
      <w:r w:rsidR="00D55550" w:rsidRPr="00A51547">
        <w:rPr>
          <w:rFonts w:ascii="Arial Narrow" w:hAnsi="Arial Narrow" w:cs="Arial"/>
          <w:kern w:val="28"/>
          <w:sz w:val="19"/>
          <w:szCs w:val="19"/>
        </w:rPr>
        <w:t>9</w:t>
      </w:r>
      <w:r w:rsidRPr="00A51547">
        <w:rPr>
          <w:rFonts w:ascii="Arial Narrow" w:hAnsi="Arial Narrow" w:cs="Arial"/>
          <w:kern w:val="28"/>
          <w:sz w:val="19"/>
          <w:szCs w:val="19"/>
        </w:rPr>
        <w:t>, valori assoluti e variazioni assolute</w:t>
      </w:r>
      <w:r w:rsidR="005322D6" w:rsidRPr="00A51547">
        <w:rPr>
          <w:rFonts w:ascii="Arial Narrow" w:hAnsi="Arial Narrow" w:cs="Arial"/>
          <w:kern w:val="28"/>
          <w:sz w:val="19"/>
          <w:szCs w:val="19"/>
        </w:rPr>
        <w:t xml:space="preserve"> in </w:t>
      </w:r>
      <w:r w:rsidR="005E41DA" w:rsidRPr="00A51547">
        <w:rPr>
          <w:rFonts w:ascii="Arial Narrow" w:hAnsi="Arial Narrow" w:cs="Arial"/>
          <w:kern w:val="28"/>
          <w:sz w:val="19"/>
          <w:szCs w:val="19"/>
        </w:rPr>
        <w:t>migliaia</w:t>
      </w:r>
    </w:p>
    <w:tbl>
      <w:tblPr>
        <w:tblW w:w="11057" w:type="dxa"/>
        <w:tblInd w:w="-529" w:type="dxa"/>
        <w:tblLayout w:type="fixed"/>
        <w:tblLook w:val="00A0" w:firstRow="1" w:lastRow="0" w:firstColumn="1" w:lastColumn="0" w:noHBand="0" w:noVBand="0"/>
      </w:tblPr>
      <w:tblGrid>
        <w:gridCol w:w="5444"/>
        <w:gridCol w:w="5613"/>
      </w:tblGrid>
      <w:tr w:rsidR="00FC24F7" w:rsidRPr="00A4252C" w14:paraId="56F0D019" w14:textId="77777777" w:rsidTr="00E27DC9">
        <w:trPr>
          <w:trHeight w:val="2948"/>
        </w:trPr>
        <w:tc>
          <w:tcPr>
            <w:tcW w:w="5444" w:type="dxa"/>
            <w:hideMark/>
          </w:tcPr>
          <w:p w14:paraId="3F213A99" w14:textId="74AFDDAF" w:rsidR="00F20554" w:rsidRPr="00A51547" w:rsidRDefault="00F20554" w:rsidP="008E031B">
            <w:pPr>
              <w:spacing w:after="0"/>
              <w:jc w:val="center"/>
              <w:rPr>
                <w:rFonts w:ascii="Arial Narrow" w:hAnsi="Arial Narrow" w:cs="Arial"/>
                <w:b/>
                <w:caps/>
                <w:color w:val="C00000"/>
                <w:kern w:val="28"/>
                <w:szCs w:val="20"/>
                <w:lang w:eastAsia="it-IT"/>
              </w:rPr>
            </w:pPr>
            <w:r w:rsidRPr="00A51547">
              <w:rPr>
                <w:rFonts w:ascii="Arial Narrow" w:hAnsi="Arial Narrow" w:cs="Arial"/>
                <w:b/>
                <w:bCs/>
                <w:caps/>
                <w:color w:val="C00000"/>
                <w:kern w:val="28"/>
                <w:szCs w:val="20"/>
                <w:lang w:eastAsia="it-IT"/>
              </w:rPr>
              <w:t>QUADRO CONGIUNTURALE</w:t>
            </w:r>
          </w:p>
          <w:p w14:paraId="78D1E435" w14:textId="77777777" w:rsidR="00F20554" w:rsidRPr="00A51547" w:rsidRDefault="00F20554" w:rsidP="008E031B">
            <w:pPr>
              <w:spacing w:after="0"/>
              <w:jc w:val="center"/>
              <w:rPr>
                <w:rFonts w:ascii="Arial Narrow" w:hAnsi="Arial Narrow" w:cs="Arial"/>
                <w:b/>
                <w:caps/>
                <w:color w:val="C00000"/>
                <w:kern w:val="28"/>
                <w:szCs w:val="20"/>
                <w:lang w:eastAsia="it-IT"/>
              </w:rPr>
            </w:pPr>
            <w:r w:rsidRPr="00A51547">
              <w:rPr>
                <w:rFonts w:ascii="Arial Narrow" w:hAnsi="Arial Narrow" w:cs="Arial"/>
                <w:b/>
                <w:bCs/>
                <w:caps/>
                <w:color w:val="C00000"/>
                <w:kern w:val="28"/>
                <w:szCs w:val="20"/>
                <w:lang w:eastAsia="it-IT"/>
              </w:rPr>
              <w:t>(dati destagionalizzati in migliaia)</w:t>
            </w:r>
          </w:p>
          <w:p w14:paraId="7C34F27D" w14:textId="13257FB6" w:rsidR="00B97985" w:rsidRPr="00A51547" w:rsidRDefault="004A32B3" w:rsidP="004577AD">
            <w:pPr>
              <w:spacing w:after="0"/>
              <w:jc w:val="center"/>
              <w:rPr>
                <w:rFonts w:ascii="Arial Narrow" w:hAnsi="Arial Narrow" w:cs="Arial"/>
                <w:b/>
                <w:caps/>
                <w:color w:val="C00000"/>
                <w:kern w:val="28"/>
                <w:szCs w:val="20"/>
                <w:lang w:eastAsia="it-IT"/>
              </w:rPr>
            </w:pPr>
            <w:r w:rsidRPr="00A51547">
              <w:rPr>
                <w:noProof/>
                <w:lang w:eastAsia="it-IT"/>
              </w:rPr>
              <w:drawing>
                <wp:inline distT="0" distB="0" distL="0" distR="0" wp14:anchorId="20A1164D" wp14:editId="58ED3139">
                  <wp:extent cx="3377821" cy="2265528"/>
                  <wp:effectExtent l="0" t="0" r="0" b="1905"/>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5613" w:type="dxa"/>
            <w:hideMark/>
          </w:tcPr>
          <w:p w14:paraId="61D04A62" w14:textId="77777777" w:rsidR="00F20554" w:rsidRPr="00A51547" w:rsidRDefault="00F20554" w:rsidP="00F20554">
            <w:pPr>
              <w:spacing w:after="0"/>
              <w:jc w:val="center"/>
              <w:rPr>
                <w:rFonts w:ascii="Arial Narrow" w:hAnsi="Arial Narrow" w:cs="Arial"/>
                <w:b/>
                <w:caps/>
                <w:color w:val="C00000"/>
                <w:kern w:val="28"/>
                <w:szCs w:val="20"/>
                <w:lang w:eastAsia="it-IT"/>
              </w:rPr>
            </w:pPr>
            <w:r w:rsidRPr="00A51547">
              <w:rPr>
                <w:rFonts w:ascii="Arial Narrow" w:hAnsi="Arial Narrow" w:cs="Arial"/>
                <w:b/>
                <w:bCs/>
                <w:caps/>
                <w:color w:val="C00000"/>
                <w:kern w:val="28"/>
                <w:szCs w:val="20"/>
                <w:lang w:eastAsia="it-IT"/>
              </w:rPr>
              <w:t xml:space="preserve">QUADRO TENDENZIALE </w:t>
            </w:r>
          </w:p>
          <w:p w14:paraId="0EC271D0" w14:textId="77777777" w:rsidR="00F20554" w:rsidRPr="00A51547" w:rsidRDefault="00F20554" w:rsidP="00F20554">
            <w:pPr>
              <w:spacing w:after="0"/>
              <w:jc w:val="center"/>
              <w:rPr>
                <w:rFonts w:ascii="Arial Narrow" w:hAnsi="Arial Narrow" w:cs="Arial"/>
                <w:b/>
                <w:caps/>
                <w:color w:val="C00000"/>
                <w:kern w:val="28"/>
                <w:szCs w:val="20"/>
                <w:lang w:eastAsia="it-IT"/>
              </w:rPr>
            </w:pPr>
            <w:r w:rsidRPr="00A51547">
              <w:rPr>
                <w:rFonts w:ascii="Arial Narrow" w:hAnsi="Arial Narrow" w:cs="Arial"/>
                <w:b/>
                <w:bCs/>
                <w:caps/>
                <w:color w:val="C00000"/>
                <w:kern w:val="28"/>
                <w:szCs w:val="20"/>
                <w:lang w:eastAsia="it-IT"/>
              </w:rPr>
              <w:t>(dati grezzi in migliaia)</w:t>
            </w:r>
          </w:p>
          <w:p w14:paraId="5364A3E8" w14:textId="3EAB00DC" w:rsidR="00FC24F7" w:rsidRPr="00A4252C" w:rsidRDefault="00F20554" w:rsidP="00947A38">
            <w:pPr>
              <w:spacing w:after="0"/>
              <w:ind w:right="425"/>
              <w:rPr>
                <w:rFonts w:ascii="Arial Narrow" w:hAnsi="Arial Narrow" w:cs="Arial"/>
                <w:color w:val="000000"/>
                <w:kern w:val="28"/>
                <w:sz w:val="24"/>
                <w:szCs w:val="24"/>
                <w:lang w:eastAsia="it-IT"/>
              </w:rPr>
            </w:pPr>
            <w:r w:rsidRPr="00A51547">
              <w:rPr>
                <w:noProof/>
                <w:lang w:eastAsia="it-IT"/>
              </w:rPr>
              <w:drawing>
                <wp:inline distT="0" distB="0" distL="0" distR="0" wp14:anchorId="414CBECE" wp14:editId="0D707FC7">
                  <wp:extent cx="3427095" cy="2204720"/>
                  <wp:effectExtent l="0" t="0" r="1905" b="508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FC24F7" w:rsidRPr="00A4252C" w14:paraId="6EF59FC4" w14:textId="77777777" w:rsidTr="00E27DC9">
        <w:trPr>
          <w:trHeight w:val="2626"/>
        </w:trPr>
        <w:tc>
          <w:tcPr>
            <w:tcW w:w="5444" w:type="dxa"/>
            <w:hideMark/>
          </w:tcPr>
          <w:p w14:paraId="6F6C4099" w14:textId="79FEC815" w:rsidR="00FC24F7" w:rsidRPr="00A4252C" w:rsidRDefault="00BD59A2" w:rsidP="004577AD">
            <w:pPr>
              <w:spacing w:after="0"/>
              <w:rPr>
                <w:rFonts w:ascii="Arial Narrow" w:hAnsi="Arial Narrow" w:cs="Arial"/>
                <w:b/>
                <w:caps/>
                <w:color w:val="5F5F5F"/>
                <w:kern w:val="28"/>
                <w:sz w:val="16"/>
                <w:szCs w:val="16"/>
                <w:lang w:eastAsia="it-IT"/>
              </w:rPr>
            </w:pPr>
            <w:r>
              <w:rPr>
                <w:noProof/>
                <w:lang w:eastAsia="it-IT"/>
              </w:rPr>
              <w:drawing>
                <wp:inline distT="0" distB="0" distL="0" distR="0" wp14:anchorId="3E4EB867" wp14:editId="3D215E3C">
                  <wp:extent cx="3333750" cy="2514600"/>
                  <wp:effectExtent l="0" t="0" r="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613" w:type="dxa"/>
            <w:hideMark/>
          </w:tcPr>
          <w:p w14:paraId="26F70E8B" w14:textId="55F3512F" w:rsidR="00FC24F7" w:rsidRPr="00A4252C" w:rsidRDefault="00F20554" w:rsidP="004577AD">
            <w:pPr>
              <w:spacing w:after="0"/>
              <w:rPr>
                <w:rFonts w:cs="Arial"/>
                <w:b/>
                <w:color w:val="000000"/>
                <w:kern w:val="28"/>
                <w:szCs w:val="20"/>
                <w:lang w:eastAsia="it-IT"/>
              </w:rPr>
            </w:pPr>
            <w:r>
              <w:rPr>
                <w:noProof/>
                <w:lang w:eastAsia="it-IT"/>
              </w:rPr>
              <w:drawing>
                <wp:inline distT="0" distB="0" distL="0" distR="0" wp14:anchorId="727E5EA6" wp14:editId="442907D4">
                  <wp:extent cx="3427095" cy="2259330"/>
                  <wp:effectExtent l="0" t="0" r="1905" b="762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FC24F7" w:rsidRPr="00A4252C" w14:paraId="18AA7A9F" w14:textId="77777777" w:rsidTr="00E27DC9">
        <w:trPr>
          <w:trHeight w:val="2625"/>
        </w:trPr>
        <w:tc>
          <w:tcPr>
            <w:tcW w:w="5444" w:type="dxa"/>
            <w:hideMark/>
          </w:tcPr>
          <w:p w14:paraId="5FFF2806" w14:textId="25A4F63E" w:rsidR="00FC24F7" w:rsidRPr="00A4252C" w:rsidRDefault="00276995" w:rsidP="004577AD">
            <w:pPr>
              <w:spacing w:after="0"/>
              <w:ind w:right="-251"/>
              <w:rPr>
                <w:rFonts w:ascii="Arial Narrow" w:hAnsi="Arial Narrow"/>
                <w:sz w:val="16"/>
                <w:szCs w:val="16"/>
              </w:rPr>
            </w:pPr>
            <w:r>
              <w:rPr>
                <w:noProof/>
                <w:lang w:eastAsia="it-IT"/>
              </w:rPr>
              <w:drawing>
                <wp:inline distT="0" distB="0" distL="0" distR="0" wp14:anchorId="44876A29" wp14:editId="53167BDB">
                  <wp:extent cx="3381375" cy="2533650"/>
                  <wp:effectExtent l="0" t="0" r="0"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613" w:type="dxa"/>
          </w:tcPr>
          <w:p w14:paraId="5AAF57E7" w14:textId="3E1F94E4" w:rsidR="00FC24F7" w:rsidRPr="00A4252C" w:rsidRDefault="00276995" w:rsidP="00276995">
            <w:pPr>
              <w:spacing w:after="0"/>
              <w:ind w:right="-251"/>
            </w:pPr>
            <w:r>
              <w:rPr>
                <w:noProof/>
                <w:lang w:eastAsia="it-IT"/>
              </w:rPr>
              <w:drawing>
                <wp:inline distT="0" distB="0" distL="0" distR="0" wp14:anchorId="5C9FBA21" wp14:editId="395F77AD">
                  <wp:extent cx="3533242" cy="2486025"/>
                  <wp:effectExtent l="0" t="0" r="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CC1E13" w14:textId="1322D988" w:rsidR="00FC24F7" w:rsidRPr="00A4252C" w:rsidRDefault="00FC24F7" w:rsidP="004577AD">
            <w:pPr>
              <w:spacing w:after="0"/>
              <w:ind w:left="34" w:right="-251"/>
              <w:rPr>
                <w:rFonts w:ascii="Arial Narrow" w:hAnsi="Arial Narrow" w:cs="Arial"/>
                <w:b/>
                <w:caps/>
                <w:color w:val="17365D"/>
                <w:kern w:val="28"/>
                <w:sz w:val="10"/>
              </w:rPr>
            </w:pPr>
          </w:p>
        </w:tc>
      </w:tr>
      <w:tr w:rsidR="00FC24F7" w:rsidRPr="00A4252C" w14:paraId="379AB5CD" w14:textId="77777777" w:rsidTr="00E27DC9">
        <w:trPr>
          <w:trHeight w:val="182"/>
        </w:trPr>
        <w:tc>
          <w:tcPr>
            <w:tcW w:w="11057" w:type="dxa"/>
            <w:gridSpan w:val="2"/>
          </w:tcPr>
          <w:p w14:paraId="7D3E442B" w14:textId="77777777" w:rsidR="007F0CAA" w:rsidRDefault="007F0CAA" w:rsidP="004577AD">
            <w:pPr>
              <w:spacing w:after="0"/>
              <w:ind w:right="-251"/>
              <w:rPr>
                <w:rFonts w:ascii="Arial Narrow" w:hAnsi="Arial Narrow" w:cs="Arial"/>
                <w:i/>
                <w:kern w:val="28"/>
                <w:sz w:val="15"/>
                <w:szCs w:val="15"/>
                <w:lang w:eastAsia="it-IT"/>
              </w:rPr>
            </w:pPr>
          </w:p>
          <w:p w14:paraId="343EB19A" w14:textId="0DFAE20E" w:rsidR="004A0CB9" w:rsidRDefault="00FC24F7" w:rsidP="004577AD">
            <w:pPr>
              <w:spacing w:after="0"/>
              <w:ind w:right="-251"/>
              <w:rPr>
                <w:rFonts w:ascii="Arial Narrow" w:hAnsi="Arial Narrow" w:cs="Arial"/>
                <w:i/>
                <w:kern w:val="28"/>
                <w:sz w:val="15"/>
                <w:szCs w:val="15"/>
                <w:lang w:eastAsia="it-IT"/>
              </w:rPr>
            </w:pPr>
            <w:r w:rsidRPr="00A4252C">
              <w:rPr>
                <w:rFonts w:ascii="Arial Narrow" w:hAnsi="Arial Narrow" w:cs="Arial"/>
                <w:i/>
                <w:kern w:val="28"/>
                <w:sz w:val="15"/>
                <w:szCs w:val="15"/>
                <w:lang w:eastAsia="it-IT"/>
              </w:rPr>
              <w:t>Fonte: Ministero del lavoro e delle politiche sociali, Comunicazioni obbligatorie SISCO (rielaborate)</w:t>
            </w:r>
          </w:p>
          <w:p w14:paraId="4EA397D2" w14:textId="4BE37FB0" w:rsidR="00064F1C" w:rsidRDefault="00064F1C" w:rsidP="00064F1C">
            <w:pPr>
              <w:spacing w:after="0"/>
              <w:ind w:right="-251"/>
              <w:rPr>
                <w:rFonts w:ascii="Arial Narrow" w:hAnsi="Arial Narrow" w:cs="Arial"/>
                <w:i/>
                <w:kern w:val="28"/>
                <w:sz w:val="15"/>
                <w:szCs w:val="15"/>
                <w:lang w:eastAsia="it-IT"/>
              </w:rPr>
            </w:pPr>
            <w:r w:rsidRPr="00064F1C">
              <w:rPr>
                <w:rFonts w:ascii="Arial Narrow" w:hAnsi="Arial Narrow" w:cs="Arial"/>
                <w:i/>
                <w:kern w:val="28"/>
                <w:sz w:val="15"/>
                <w:szCs w:val="15"/>
                <w:lang w:eastAsia="it-IT"/>
              </w:rPr>
              <w:t>(a) Posizioni lavorative totali</w:t>
            </w:r>
            <w:r>
              <w:rPr>
                <w:rFonts w:ascii="Arial Narrow" w:hAnsi="Arial Narrow" w:cs="Arial"/>
                <w:i/>
                <w:kern w:val="28"/>
                <w:sz w:val="15"/>
                <w:szCs w:val="15"/>
                <w:lang w:eastAsia="it-IT"/>
              </w:rPr>
              <w:t>:</w:t>
            </w:r>
            <w:r w:rsidRPr="00064F1C">
              <w:rPr>
                <w:rFonts w:ascii="Arial Narrow" w:hAnsi="Arial Narrow" w:cs="Arial"/>
                <w:i/>
                <w:kern w:val="28"/>
                <w:sz w:val="15"/>
                <w:szCs w:val="15"/>
                <w:lang w:eastAsia="it-IT"/>
              </w:rPr>
              <w:t xml:space="preserve"> attivazioni - cessazioni; Posizioni lavorative a tempo indeterminato</w:t>
            </w:r>
            <w:r>
              <w:rPr>
                <w:rFonts w:ascii="Arial Narrow" w:hAnsi="Arial Narrow" w:cs="Arial"/>
                <w:i/>
                <w:kern w:val="28"/>
                <w:sz w:val="15"/>
                <w:szCs w:val="15"/>
                <w:lang w:eastAsia="it-IT"/>
              </w:rPr>
              <w:t>:</w:t>
            </w:r>
            <w:r w:rsidRPr="00064F1C">
              <w:rPr>
                <w:rFonts w:ascii="Arial Narrow" w:hAnsi="Arial Narrow" w:cs="Arial"/>
                <w:i/>
                <w:kern w:val="28"/>
                <w:sz w:val="15"/>
                <w:szCs w:val="15"/>
                <w:lang w:eastAsia="it-IT"/>
              </w:rPr>
              <w:t xml:space="preserve"> </w:t>
            </w:r>
            <w:r w:rsidR="00C107FB">
              <w:rPr>
                <w:rFonts w:ascii="Arial Narrow" w:hAnsi="Arial Narrow" w:cs="Arial"/>
                <w:i/>
                <w:kern w:val="28"/>
                <w:sz w:val="15"/>
                <w:szCs w:val="15"/>
                <w:lang w:eastAsia="it-IT"/>
              </w:rPr>
              <w:t>(</w:t>
            </w:r>
            <w:r w:rsidRPr="00064F1C">
              <w:rPr>
                <w:rFonts w:ascii="Arial Narrow" w:hAnsi="Arial Narrow" w:cs="Arial"/>
                <w:i/>
                <w:kern w:val="28"/>
                <w:sz w:val="15"/>
                <w:szCs w:val="15"/>
                <w:lang w:eastAsia="it-IT"/>
              </w:rPr>
              <w:t>attivazioni a tempo indeterminato – cessazioni a tempo indeterminato</w:t>
            </w:r>
            <w:r w:rsidR="00C107FB">
              <w:rPr>
                <w:rFonts w:ascii="Arial Narrow" w:hAnsi="Arial Narrow" w:cs="Arial"/>
                <w:i/>
                <w:kern w:val="28"/>
                <w:sz w:val="15"/>
                <w:szCs w:val="15"/>
                <w:lang w:eastAsia="it-IT"/>
              </w:rPr>
              <w:t>)</w:t>
            </w:r>
            <w:r w:rsidR="00381DF0">
              <w:rPr>
                <w:rFonts w:ascii="Arial Narrow" w:hAnsi="Arial Narrow" w:cs="Arial"/>
                <w:i/>
                <w:kern w:val="28"/>
                <w:sz w:val="15"/>
                <w:szCs w:val="15"/>
                <w:lang w:eastAsia="it-IT"/>
              </w:rPr>
              <w:t xml:space="preserve"> </w:t>
            </w:r>
            <w:r w:rsidRPr="00064F1C">
              <w:rPr>
                <w:rFonts w:ascii="Arial Narrow" w:hAnsi="Arial Narrow" w:cs="Arial"/>
                <w:i/>
                <w:kern w:val="28"/>
                <w:sz w:val="15"/>
                <w:szCs w:val="15"/>
                <w:lang w:eastAsia="it-IT"/>
              </w:rPr>
              <w:t xml:space="preserve">+ trasformazioni a tempo </w:t>
            </w:r>
          </w:p>
          <w:p w14:paraId="27BA7802" w14:textId="76C3793A" w:rsidR="00583C01" w:rsidRPr="00A4252C" w:rsidRDefault="00064F1C" w:rsidP="00064F1C">
            <w:pPr>
              <w:spacing w:after="0"/>
              <w:ind w:right="-251"/>
              <w:rPr>
                <w:rFonts w:ascii="Arial Narrow" w:hAnsi="Arial Narrow" w:cs="Arial"/>
                <w:i/>
                <w:kern w:val="28"/>
                <w:sz w:val="15"/>
                <w:szCs w:val="15"/>
                <w:lang w:eastAsia="it-IT"/>
              </w:rPr>
            </w:pPr>
            <w:r w:rsidRPr="00064F1C">
              <w:rPr>
                <w:rFonts w:ascii="Arial Narrow" w:hAnsi="Arial Narrow" w:cs="Arial"/>
                <w:i/>
                <w:kern w:val="28"/>
                <w:sz w:val="15"/>
                <w:szCs w:val="15"/>
                <w:lang w:eastAsia="it-IT"/>
              </w:rPr>
              <w:t>indeterminato; Posizioni a tempo determinato</w:t>
            </w:r>
            <w:r>
              <w:rPr>
                <w:rFonts w:ascii="Arial Narrow" w:hAnsi="Arial Narrow" w:cs="Arial"/>
                <w:i/>
                <w:kern w:val="28"/>
                <w:sz w:val="15"/>
                <w:szCs w:val="15"/>
                <w:lang w:eastAsia="it-IT"/>
              </w:rPr>
              <w:t>:</w:t>
            </w:r>
            <w:r w:rsidRPr="00064F1C">
              <w:rPr>
                <w:rFonts w:ascii="Arial Narrow" w:hAnsi="Arial Narrow" w:cs="Arial"/>
                <w:i/>
                <w:kern w:val="28"/>
                <w:sz w:val="15"/>
                <w:szCs w:val="15"/>
                <w:lang w:eastAsia="it-IT"/>
              </w:rPr>
              <w:t xml:space="preserve"> </w:t>
            </w:r>
            <w:r w:rsidR="00C107FB">
              <w:rPr>
                <w:rFonts w:ascii="Arial Narrow" w:hAnsi="Arial Narrow" w:cs="Arial"/>
                <w:i/>
                <w:kern w:val="28"/>
                <w:sz w:val="15"/>
                <w:szCs w:val="15"/>
                <w:lang w:eastAsia="it-IT"/>
              </w:rPr>
              <w:t>(</w:t>
            </w:r>
            <w:r w:rsidRPr="00064F1C">
              <w:rPr>
                <w:rFonts w:ascii="Arial Narrow" w:hAnsi="Arial Narrow" w:cs="Arial"/>
                <w:i/>
                <w:kern w:val="28"/>
                <w:sz w:val="15"/>
                <w:szCs w:val="15"/>
                <w:lang w:eastAsia="it-IT"/>
              </w:rPr>
              <w:t>attivazioni a tempo determinato – cessazioni a tempo determinato</w:t>
            </w:r>
            <w:r w:rsidR="00C107FB">
              <w:rPr>
                <w:rFonts w:ascii="Arial Narrow" w:hAnsi="Arial Narrow" w:cs="Arial"/>
                <w:i/>
                <w:kern w:val="28"/>
                <w:sz w:val="15"/>
                <w:szCs w:val="15"/>
                <w:lang w:eastAsia="it-IT"/>
              </w:rPr>
              <w:t>)</w:t>
            </w:r>
            <w:r w:rsidRPr="00064F1C">
              <w:rPr>
                <w:rFonts w:ascii="Arial Narrow" w:hAnsi="Arial Narrow" w:cs="Arial"/>
                <w:i/>
                <w:kern w:val="28"/>
                <w:sz w:val="15"/>
                <w:szCs w:val="15"/>
                <w:lang w:eastAsia="it-IT"/>
              </w:rPr>
              <w:t xml:space="preserve"> – trasformazioni a tempo indeterminato.</w:t>
            </w:r>
          </w:p>
        </w:tc>
      </w:tr>
      <w:tr w:rsidR="00FC24F7" w:rsidRPr="00A4252C" w14:paraId="5DC9662B" w14:textId="77777777" w:rsidTr="009D69C1">
        <w:tblPrEx>
          <w:tblCellMar>
            <w:left w:w="70" w:type="dxa"/>
            <w:right w:w="70" w:type="dxa"/>
          </w:tblCellMar>
        </w:tblPrEx>
        <w:trPr>
          <w:trHeight w:val="2708"/>
        </w:trPr>
        <w:tc>
          <w:tcPr>
            <w:tcW w:w="5444" w:type="dxa"/>
            <w:hideMark/>
          </w:tcPr>
          <w:p w14:paraId="310ED26C" w14:textId="712E39CF" w:rsidR="006578B9" w:rsidRPr="00A51547" w:rsidRDefault="00FC24F7" w:rsidP="004577AD">
            <w:pPr>
              <w:pStyle w:val="Paragrafoelenco2"/>
              <w:tabs>
                <w:tab w:val="left" w:pos="1701"/>
              </w:tabs>
              <w:suppressAutoHyphens/>
              <w:spacing w:after="0"/>
              <w:ind w:left="0"/>
              <w:jc w:val="left"/>
              <w:rPr>
                <w:rFonts w:ascii="Arial Narrow" w:hAnsi="Arial Narrow" w:cs="Arial"/>
                <w:kern w:val="28"/>
                <w:sz w:val="19"/>
                <w:szCs w:val="19"/>
              </w:rPr>
            </w:pPr>
            <w:r w:rsidRPr="00A51547">
              <w:rPr>
                <w:rFonts w:ascii="Arial Narrow" w:hAnsi="Arial Narrow" w:cs="Arial"/>
                <w:b/>
                <w:caps/>
                <w:color w:val="17365D"/>
                <w:kern w:val="28"/>
              </w:rPr>
              <w:lastRenderedPageBreak/>
              <w:t>Figura 2. Occupati, DIPENDENTI E INDIPENDENTI</w:t>
            </w:r>
            <w:r w:rsidRPr="00A51547">
              <w:rPr>
                <w:rFonts w:ascii="Arial Narrow" w:hAnsi="Arial Narrow" w:cs="Arial"/>
                <w:bCs/>
                <w:iCs/>
                <w:caps/>
                <w:color w:val="808080"/>
                <w:spacing w:val="-4"/>
                <w:szCs w:val="20"/>
                <w:lang w:eastAsia="it-IT"/>
              </w:rPr>
              <w:t xml:space="preserve"> </w:t>
            </w:r>
            <w:r w:rsidRPr="00A51547">
              <w:rPr>
                <w:rFonts w:ascii="Arial Narrow" w:hAnsi="Arial Narrow" w:cs="Arial"/>
                <w:bCs/>
                <w:iCs/>
                <w:caps/>
                <w:color w:val="808080"/>
                <w:spacing w:val="-4"/>
                <w:szCs w:val="20"/>
                <w:lang w:eastAsia="it-IT"/>
              </w:rPr>
              <w:br/>
            </w:r>
            <w:r w:rsidRPr="00A51547">
              <w:rPr>
                <w:rFonts w:ascii="Arial Narrow" w:hAnsi="Arial Narrow" w:cs="Arial"/>
                <w:kern w:val="28"/>
                <w:sz w:val="19"/>
                <w:szCs w:val="19"/>
              </w:rPr>
              <w:t>I trim. 201</w:t>
            </w:r>
            <w:r w:rsidR="009931E9" w:rsidRPr="00A51547">
              <w:rPr>
                <w:rFonts w:ascii="Arial Narrow" w:hAnsi="Arial Narrow" w:cs="Arial"/>
                <w:kern w:val="28"/>
                <w:sz w:val="19"/>
                <w:szCs w:val="19"/>
              </w:rPr>
              <w:t>4</w:t>
            </w:r>
            <w:r w:rsidRPr="00A51547">
              <w:rPr>
                <w:rFonts w:ascii="Arial Narrow" w:hAnsi="Arial Narrow" w:cs="Arial"/>
                <w:kern w:val="28"/>
                <w:sz w:val="19"/>
                <w:szCs w:val="19"/>
              </w:rPr>
              <w:t xml:space="preserve"> – I trim. 201</w:t>
            </w:r>
            <w:r w:rsidR="009931E9" w:rsidRPr="00A51547">
              <w:rPr>
                <w:rFonts w:ascii="Arial Narrow" w:hAnsi="Arial Narrow" w:cs="Arial"/>
                <w:kern w:val="28"/>
                <w:sz w:val="19"/>
                <w:szCs w:val="19"/>
              </w:rPr>
              <w:t>9</w:t>
            </w:r>
            <w:r w:rsidRPr="00A51547">
              <w:rPr>
                <w:rFonts w:ascii="Arial Narrow" w:hAnsi="Arial Narrow" w:cs="Arial"/>
                <w:kern w:val="28"/>
                <w:sz w:val="19"/>
                <w:szCs w:val="19"/>
              </w:rPr>
              <w:t xml:space="preserve">, dati destagionalizzati, valori assoluti (scala </w:t>
            </w:r>
            <w:r w:rsidR="00832FB6" w:rsidRPr="00A51547">
              <w:rPr>
                <w:rFonts w:ascii="Arial Narrow" w:hAnsi="Arial Narrow" w:cs="Arial"/>
                <w:kern w:val="28"/>
                <w:sz w:val="19"/>
                <w:szCs w:val="19"/>
              </w:rPr>
              <w:t>sinistra</w:t>
            </w:r>
            <w:r w:rsidRPr="00A51547">
              <w:rPr>
                <w:rFonts w:ascii="Arial Narrow" w:hAnsi="Arial Narrow" w:cs="Arial"/>
                <w:kern w:val="28"/>
                <w:sz w:val="19"/>
                <w:szCs w:val="19"/>
              </w:rPr>
              <w:t xml:space="preserve">) e variazioni congiunturali assolute (scala </w:t>
            </w:r>
            <w:r w:rsidR="00832FB6" w:rsidRPr="00A51547">
              <w:rPr>
                <w:rFonts w:ascii="Arial Narrow" w:hAnsi="Arial Narrow" w:cs="Arial"/>
                <w:kern w:val="28"/>
                <w:sz w:val="19"/>
                <w:szCs w:val="19"/>
              </w:rPr>
              <w:t>destra</w:t>
            </w:r>
            <w:r w:rsidRPr="00A51547">
              <w:rPr>
                <w:rFonts w:ascii="Arial Narrow" w:hAnsi="Arial Narrow" w:cs="Arial"/>
                <w:kern w:val="28"/>
                <w:sz w:val="19"/>
                <w:szCs w:val="19"/>
              </w:rPr>
              <w:t>), valori in migliaia</w:t>
            </w:r>
            <w:r w:rsidR="008C7C99" w:rsidRPr="00A51547">
              <w:rPr>
                <w:rFonts w:ascii="Arial Narrow" w:hAnsi="Arial Narrow" w:cs="Arial"/>
                <w:kern w:val="28"/>
                <w:sz w:val="19"/>
                <w:szCs w:val="19"/>
              </w:rPr>
              <w:t xml:space="preserve"> </w:t>
            </w:r>
          </w:p>
          <w:p w14:paraId="2CB694B6" w14:textId="0653DFBF" w:rsidR="00FC24F7" w:rsidRPr="00A51547" w:rsidRDefault="008C7C99" w:rsidP="009D69C1">
            <w:pPr>
              <w:pStyle w:val="Paragrafoelenco2"/>
              <w:tabs>
                <w:tab w:val="left" w:pos="1701"/>
              </w:tabs>
              <w:suppressAutoHyphens/>
              <w:spacing w:after="0"/>
              <w:ind w:left="0"/>
              <w:jc w:val="left"/>
              <w:rPr>
                <w:rFonts w:ascii="Arial Narrow" w:hAnsi="Arial Narrow"/>
                <w:i/>
                <w:noProof/>
                <w:sz w:val="15"/>
                <w:szCs w:val="15"/>
              </w:rPr>
            </w:pPr>
            <w:r w:rsidRPr="00A51547">
              <w:rPr>
                <w:rFonts w:ascii="Arial Narrow" w:hAnsi="Arial Narrow" w:cs="Arial"/>
                <w:kern w:val="28"/>
                <w:sz w:val="19"/>
                <w:szCs w:val="19"/>
              </w:rPr>
              <w:t xml:space="preserve">  </w:t>
            </w:r>
            <w:r w:rsidR="009D69C1">
              <w:rPr>
                <w:noProof/>
                <w:lang w:eastAsia="it-IT"/>
              </w:rPr>
              <w:drawing>
                <wp:inline distT="0" distB="0" distL="0" distR="0" wp14:anchorId="40D180E7" wp14:editId="0D6591E0">
                  <wp:extent cx="3368040" cy="1805940"/>
                  <wp:effectExtent l="0" t="0" r="3810" b="381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27C52" w:rsidRPr="00A51547">
              <w:rPr>
                <w:rFonts w:ascii="Arial Narrow" w:hAnsi="Arial Narrow"/>
                <w:i/>
                <w:noProof/>
                <w:sz w:val="15"/>
                <w:szCs w:val="15"/>
              </w:rPr>
              <w:t>F</w:t>
            </w:r>
            <w:r w:rsidR="00FC24F7" w:rsidRPr="00A51547">
              <w:rPr>
                <w:rFonts w:ascii="Arial Narrow" w:hAnsi="Arial Narrow"/>
                <w:i/>
                <w:noProof/>
                <w:sz w:val="15"/>
                <w:szCs w:val="15"/>
              </w:rPr>
              <w:t>onte: Istat, Rilevazione sulle forze di lavoro</w:t>
            </w:r>
          </w:p>
        </w:tc>
        <w:tc>
          <w:tcPr>
            <w:tcW w:w="5613" w:type="dxa"/>
          </w:tcPr>
          <w:p w14:paraId="66AE7928" w14:textId="046BE103" w:rsidR="006743E9" w:rsidRPr="00A51547" w:rsidRDefault="00FC24F7" w:rsidP="004577AD">
            <w:pPr>
              <w:pStyle w:val="Corpotesto"/>
              <w:widowControl/>
              <w:tabs>
                <w:tab w:val="clear" w:pos="-1"/>
                <w:tab w:val="left" w:pos="284"/>
              </w:tabs>
              <w:suppressAutoHyphens/>
              <w:spacing w:line="240" w:lineRule="auto"/>
              <w:jc w:val="left"/>
              <w:rPr>
                <w:rFonts w:ascii="Arial Narrow" w:hAnsi="Arial Narrow" w:cs="Arial"/>
                <w:color w:val="auto"/>
                <w:kern w:val="28"/>
                <w:sz w:val="19"/>
                <w:szCs w:val="19"/>
                <w:lang w:eastAsia="en-US"/>
              </w:rPr>
            </w:pPr>
            <w:r w:rsidRPr="00A51547">
              <w:rPr>
                <w:rFonts w:ascii="Arial Narrow" w:hAnsi="Arial Narrow" w:cs="Arial"/>
                <w:b/>
                <w:caps/>
                <w:color w:val="17365D"/>
                <w:kern w:val="28"/>
                <w:szCs w:val="22"/>
                <w:lang w:eastAsia="en-US"/>
              </w:rPr>
              <w:t>Figura</w:t>
            </w:r>
            <w:r w:rsidRPr="00A51547">
              <w:rPr>
                <w:rFonts w:ascii="Arial Narrow" w:hAnsi="Arial Narrow" w:cs="Arial"/>
                <w:b/>
                <w:color w:val="17365D"/>
                <w:kern w:val="28"/>
                <w:szCs w:val="22"/>
                <w:lang w:eastAsia="en-US"/>
              </w:rPr>
              <w:t xml:space="preserve"> 3. POSIZIONI LAVORATIVE DIPENDENTI </w:t>
            </w:r>
            <w:r w:rsidRPr="00A51547">
              <w:rPr>
                <w:rFonts w:ascii="Arial Narrow" w:hAnsi="Arial Narrow" w:cs="Arial"/>
                <w:b/>
                <w:color w:val="17365D"/>
                <w:kern w:val="28"/>
                <w:szCs w:val="22"/>
                <w:lang w:eastAsia="en-US"/>
              </w:rPr>
              <w:br/>
              <w:t>NELL’INDUSTRIA E NEI SERVIZI</w:t>
            </w:r>
            <w:r w:rsidR="00AC2E33">
              <w:rPr>
                <w:rFonts w:ascii="Arial Narrow" w:hAnsi="Arial Narrow" w:cs="Arial"/>
                <w:b/>
                <w:color w:val="17365D"/>
                <w:kern w:val="28"/>
                <w:szCs w:val="22"/>
                <w:lang w:eastAsia="en-US"/>
              </w:rPr>
              <w:t>.</w:t>
            </w:r>
            <w:r w:rsidRPr="00A51547">
              <w:rPr>
                <w:rFonts w:ascii="Arial Narrow" w:hAnsi="Arial Narrow" w:cs="Arial"/>
                <w:b/>
                <w:color w:val="17365D"/>
                <w:kern w:val="28"/>
                <w:szCs w:val="22"/>
                <w:lang w:eastAsia="en-US"/>
              </w:rPr>
              <w:t xml:space="preserve"> </w:t>
            </w:r>
            <w:r w:rsidR="003043C1" w:rsidRPr="00A51547">
              <w:rPr>
                <w:rFonts w:ascii="Arial Narrow" w:hAnsi="Arial Narrow" w:cs="Arial"/>
                <w:color w:val="auto"/>
                <w:kern w:val="28"/>
                <w:sz w:val="19"/>
                <w:szCs w:val="19"/>
                <w:lang w:eastAsia="en-US"/>
              </w:rPr>
              <w:t>I trim. 2014</w:t>
            </w:r>
            <w:r w:rsidRPr="00A51547">
              <w:rPr>
                <w:rFonts w:ascii="Arial Narrow" w:hAnsi="Arial Narrow" w:cs="Arial"/>
                <w:color w:val="auto"/>
                <w:kern w:val="28"/>
                <w:sz w:val="19"/>
                <w:szCs w:val="19"/>
                <w:lang w:eastAsia="en-US"/>
              </w:rPr>
              <w:t xml:space="preserve"> – I trim. 201</w:t>
            </w:r>
            <w:r w:rsidR="003043C1" w:rsidRPr="00A51547">
              <w:rPr>
                <w:rFonts w:ascii="Arial Narrow" w:hAnsi="Arial Narrow" w:cs="Arial"/>
                <w:color w:val="auto"/>
                <w:kern w:val="28"/>
                <w:sz w:val="19"/>
                <w:szCs w:val="19"/>
                <w:lang w:eastAsia="en-US"/>
              </w:rPr>
              <w:t>9</w:t>
            </w:r>
            <w:r w:rsidRPr="00A51547">
              <w:rPr>
                <w:rFonts w:ascii="Arial Narrow" w:hAnsi="Arial Narrow" w:cs="Arial"/>
                <w:color w:val="auto"/>
                <w:kern w:val="28"/>
                <w:sz w:val="19"/>
                <w:szCs w:val="19"/>
                <w:lang w:eastAsia="en-US"/>
              </w:rPr>
              <w:t xml:space="preserve">, dati destagionalizzati, valori assoluti (scala </w:t>
            </w:r>
            <w:r w:rsidR="00396FE7" w:rsidRPr="00A51547">
              <w:rPr>
                <w:rFonts w:ascii="Arial Narrow" w:hAnsi="Arial Narrow" w:cs="Arial"/>
                <w:color w:val="auto"/>
                <w:kern w:val="28"/>
                <w:sz w:val="19"/>
                <w:szCs w:val="19"/>
                <w:lang w:eastAsia="en-US"/>
              </w:rPr>
              <w:t>sinistra</w:t>
            </w:r>
            <w:r w:rsidRPr="00A51547">
              <w:rPr>
                <w:rFonts w:ascii="Arial Narrow" w:hAnsi="Arial Narrow" w:cs="Arial"/>
                <w:color w:val="auto"/>
                <w:kern w:val="28"/>
                <w:sz w:val="19"/>
                <w:szCs w:val="19"/>
                <w:lang w:eastAsia="en-US"/>
              </w:rPr>
              <w:t xml:space="preserve">) e variazioni congiunturali assolute (scala </w:t>
            </w:r>
            <w:r w:rsidR="00396FE7" w:rsidRPr="00A51547">
              <w:rPr>
                <w:rFonts w:ascii="Arial Narrow" w:hAnsi="Arial Narrow" w:cs="Arial"/>
                <w:color w:val="auto"/>
                <w:kern w:val="28"/>
                <w:sz w:val="19"/>
                <w:szCs w:val="19"/>
                <w:lang w:eastAsia="en-US"/>
              </w:rPr>
              <w:t>destra</w:t>
            </w:r>
            <w:r w:rsidRPr="00A51547">
              <w:rPr>
                <w:rFonts w:ascii="Arial Narrow" w:hAnsi="Arial Narrow" w:cs="Arial"/>
                <w:color w:val="auto"/>
                <w:kern w:val="28"/>
                <w:sz w:val="19"/>
                <w:szCs w:val="19"/>
                <w:lang w:eastAsia="en-US"/>
              </w:rPr>
              <w:t>), valori in migliaia</w:t>
            </w:r>
          </w:p>
          <w:p w14:paraId="25E8CD01" w14:textId="0A664AC4" w:rsidR="002E6443" w:rsidRPr="00A51547" w:rsidRDefault="002E6443" w:rsidP="00583C01">
            <w:pPr>
              <w:pStyle w:val="Corpotesto"/>
              <w:widowControl/>
              <w:tabs>
                <w:tab w:val="clear" w:pos="-1"/>
                <w:tab w:val="clear" w:pos="565"/>
                <w:tab w:val="clear" w:pos="1131"/>
                <w:tab w:val="clear" w:pos="1697"/>
                <w:tab w:val="clear" w:pos="2263"/>
                <w:tab w:val="clear" w:pos="2829"/>
                <w:tab w:val="clear" w:pos="3395"/>
                <w:tab w:val="clear" w:pos="3961"/>
                <w:tab w:val="clear" w:pos="4527"/>
                <w:tab w:val="clear" w:pos="5093"/>
              </w:tabs>
              <w:suppressAutoHyphens/>
              <w:spacing w:line="240" w:lineRule="auto"/>
              <w:ind w:right="-70"/>
              <w:jc w:val="left"/>
              <w:rPr>
                <w:rFonts w:ascii="Arial Narrow" w:hAnsi="Arial Narrow"/>
                <w:i/>
                <w:noProof/>
                <w:color w:val="auto"/>
                <w:sz w:val="15"/>
                <w:szCs w:val="15"/>
              </w:rPr>
            </w:pPr>
            <w:r w:rsidRPr="00A51547">
              <w:rPr>
                <w:noProof/>
              </w:rPr>
              <w:drawing>
                <wp:inline distT="0" distB="0" distL="0" distR="0" wp14:anchorId="114EF8F4" wp14:editId="2B5CEA90">
                  <wp:extent cx="3194462" cy="1674421"/>
                  <wp:effectExtent l="0" t="0" r="6350" b="254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871AFF" w14:textId="77777777" w:rsidR="001B526E" w:rsidRPr="00A51547" w:rsidRDefault="001B526E" w:rsidP="00583C01">
            <w:pPr>
              <w:pStyle w:val="Corpotesto"/>
              <w:widowControl/>
              <w:tabs>
                <w:tab w:val="clear" w:pos="-1"/>
                <w:tab w:val="clear" w:pos="565"/>
                <w:tab w:val="clear" w:pos="1131"/>
                <w:tab w:val="clear" w:pos="1697"/>
                <w:tab w:val="clear" w:pos="2263"/>
                <w:tab w:val="clear" w:pos="2829"/>
                <w:tab w:val="clear" w:pos="3395"/>
                <w:tab w:val="clear" w:pos="3961"/>
                <w:tab w:val="clear" w:pos="4527"/>
                <w:tab w:val="clear" w:pos="5093"/>
              </w:tabs>
              <w:suppressAutoHyphens/>
              <w:spacing w:line="240" w:lineRule="auto"/>
              <w:ind w:right="-70"/>
              <w:jc w:val="left"/>
              <w:rPr>
                <w:rFonts w:ascii="Arial Narrow" w:hAnsi="Arial Narrow"/>
                <w:i/>
                <w:noProof/>
                <w:color w:val="auto"/>
                <w:sz w:val="15"/>
                <w:szCs w:val="15"/>
              </w:rPr>
            </w:pPr>
          </w:p>
          <w:p w14:paraId="219EA269" w14:textId="6F0D66FE" w:rsidR="00FC24F7" w:rsidRPr="00226014" w:rsidRDefault="00FC24F7" w:rsidP="00583C01">
            <w:pPr>
              <w:pStyle w:val="Corpotesto"/>
              <w:widowControl/>
              <w:tabs>
                <w:tab w:val="clear" w:pos="-1"/>
                <w:tab w:val="clear" w:pos="565"/>
                <w:tab w:val="clear" w:pos="1131"/>
                <w:tab w:val="clear" w:pos="1697"/>
                <w:tab w:val="clear" w:pos="2263"/>
                <w:tab w:val="clear" w:pos="2829"/>
                <w:tab w:val="clear" w:pos="3395"/>
                <w:tab w:val="clear" w:pos="3961"/>
                <w:tab w:val="clear" w:pos="4527"/>
                <w:tab w:val="clear" w:pos="5093"/>
              </w:tabs>
              <w:suppressAutoHyphens/>
              <w:spacing w:line="240" w:lineRule="auto"/>
              <w:ind w:right="-70"/>
              <w:jc w:val="left"/>
              <w:rPr>
                <w:rFonts w:ascii="Arial Narrow" w:hAnsi="Arial Narrow"/>
                <w:i/>
                <w:noProof/>
                <w:sz w:val="12"/>
                <w:szCs w:val="12"/>
              </w:rPr>
            </w:pPr>
            <w:r w:rsidRPr="00A51547">
              <w:rPr>
                <w:rFonts w:ascii="Arial Narrow" w:hAnsi="Arial Narrow"/>
                <w:i/>
                <w:noProof/>
                <w:color w:val="auto"/>
                <w:sz w:val="15"/>
                <w:szCs w:val="15"/>
              </w:rPr>
              <w:t>Fonte: Istat, Indicatori del lavoro sulle imprese (Oros)</w:t>
            </w:r>
            <w:r w:rsidRPr="00583C01">
              <w:rPr>
                <w:rFonts w:ascii="Arial Narrow" w:hAnsi="Arial Narrow"/>
                <w:i/>
                <w:noProof/>
                <w:color w:val="auto"/>
                <w:sz w:val="12"/>
                <w:szCs w:val="12"/>
              </w:rPr>
              <w:t xml:space="preserve"> </w:t>
            </w:r>
          </w:p>
        </w:tc>
      </w:tr>
    </w:tbl>
    <w:p w14:paraId="2EB34070" w14:textId="77777777" w:rsidR="00D82117" w:rsidRPr="00A4252C" w:rsidRDefault="00D82117"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cs="Arial"/>
          <w:b/>
          <w:color w:val="17365D"/>
          <w:kern w:val="28"/>
        </w:rPr>
      </w:pPr>
    </w:p>
    <w:p w14:paraId="3BA6560F" w14:textId="2A1CA317" w:rsidR="004176C3" w:rsidRPr="00A4252C" w:rsidRDefault="004176C3"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cs="Arial"/>
          <w:kern w:val="28"/>
          <w:sz w:val="19"/>
          <w:szCs w:val="19"/>
        </w:rPr>
      </w:pPr>
      <w:r w:rsidRPr="00966748">
        <w:rPr>
          <w:rFonts w:ascii="Arial Narrow" w:hAnsi="Arial Narrow" w:cs="Arial"/>
          <w:b/>
          <w:color w:val="17365D"/>
          <w:kern w:val="28"/>
        </w:rPr>
        <w:t>TAVOLA 2. PRINCIPALI INDICATORI DI FLUSSO DEL MERCATO DEL LAVORO ITALIANO PER SETTORE DI ATTIVITÀ ECONOMICA E TIPOLOGIA DI CONTRATTO DELL’OCCUPAZIONE</w:t>
      </w:r>
      <w:r w:rsidR="00787F5C" w:rsidRPr="00966748">
        <w:rPr>
          <w:rFonts w:ascii="Arial Narrow" w:hAnsi="Arial Narrow" w:cs="Arial"/>
          <w:b/>
          <w:color w:val="17365D"/>
          <w:kern w:val="28"/>
        </w:rPr>
        <w:t xml:space="preserve"> (a)</w:t>
      </w:r>
      <w:r w:rsidRPr="00966748">
        <w:rPr>
          <w:rFonts w:ascii="Arial Narrow" w:hAnsi="Arial Narrow" w:cs="Arial"/>
          <w:b/>
          <w:color w:val="17365D"/>
          <w:kern w:val="28"/>
        </w:rPr>
        <w:br/>
      </w:r>
      <w:r w:rsidR="00D82117" w:rsidRPr="00A51547">
        <w:rPr>
          <w:rFonts w:ascii="Arial Narrow" w:hAnsi="Arial Narrow" w:cs="Arial"/>
          <w:kern w:val="28"/>
          <w:sz w:val="19"/>
          <w:szCs w:val="19"/>
        </w:rPr>
        <w:t>I</w:t>
      </w:r>
      <w:r w:rsidRPr="00A51547">
        <w:rPr>
          <w:rFonts w:ascii="Arial Narrow" w:hAnsi="Arial Narrow" w:cs="Arial"/>
          <w:kern w:val="28"/>
          <w:sz w:val="19"/>
          <w:szCs w:val="19"/>
        </w:rPr>
        <w:t xml:space="preserve"> trimestre 201</w:t>
      </w:r>
      <w:r w:rsidR="00CD74D3" w:rsidRPr="00A51547">
        <w:rPr>
          <w:rFonts w:ascii="Arial Narrow" w:hAnsi="Arial Narrow" w:cs="Arial"/>
          <w:kern w:val="28"/>
          <w:sz w:val="19"/>
          <w:szCs w:val="19"/>
        </w:rPr>
        <w:t>9</w:t>
      </w:r>
      <w:r w:rsidRPr="00A51547">
        <w:rPr>
          <w:rFonts w:ascii="Arial Narrow" w:hAnsi="Arial Narrow" w:cs="Arial"/>
          <w:kern w:val="28"/>
          <w:sz w:val="19"/>
          <w:szCs w:val="19"/>
        </w:rPr>
        <w:t>, valori in migliaia</w:t>
      </w:r>
    </w:p>
    <w:tbl>
      <w:tblPr>
        <w:tblW w:w="9645" w:type="dxa"/>
        <w:tblInd w:w="55"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1074"/>
        <w:gridCol w:w="2678"/>
        <w:gridCol w:w="895"/>
        <w:gridCol w:w="738"/>
        <w:gridCol w:w="807"/>
        <w:gridCol w:w="848"/>
        <w:gridCol w:w="652"/>
        <w:gridCol w:w="658"/>
        <w:gridCol w:w="646"/>
        <w:gridCol w:w="649"/>
      </w:tblGrid>
      <w:tr w:rsidR="004176C3" w:rsidRPr="00A4252C" w14:paraId="7FC7CC89" w14:textId="77777777" w:rsidTr="0037315C">
        <w:trPr>
          <w:trHeight w:val="255"/>
        </w:trPr>
        <w:tc>
          <w:tcPr>
            <w:tcW w:w="3752" w:type="dxa"/>
            <w:gridSpan w:val="2"/>
            <w:shd w:val="clear" w:color="auto" w:fill="17365D"/>
            <w:vAlign w:val="center"/>
          </w:tcPr>
          <w:p w14:paraId="3368290E" w14:textId="77777777" w:rsidR="008C4FAA" w:rsidRPr="00A4252C" w:rsidRDefault="004176C3" w:rsidP="008C4FAA">
            <w:pPr>
              <w:spacing w:before="40" w:after="20"/>
              <w:jc w:val="left"/>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DOMA</w:t>
            </w:r>
            <w:r w:rsidR="008C4FAA" w:rsidRPr="00A4252C">
              <w:rPr>
                <w:rFonts w:ascii="Arial Narrow" w:hAnsi="Arial Narrow"/>
                <w:b/>
                <w:bCs/>
                <w:color w:val="FFFFFF"/>
                <w:sz w:val="17"/>
                <w:szCs w:val="17"/>
                <w:lang w:eastAsia="it-IT"/>
              </w:rPr>
              <w:t>NDA DI LAVORO DIPENDENTE TOTALE</w:t>
            </w:r>
          </w:p>
          <w:p w14:paraId="774040F5" w14:textId="3DFBCCFD" w:rsidR="004176C3" w:rsidRPr="00A4252C" w:rsidRDefault="004176C3" w:rsidP="008C4FAA">
            <w:pPr>
              <w:spacing w:before="40" w:after="20"/>
              <w:jc w:val="left"/>
              <w:rPr>
                <w:rFonts w:ascii="Arial Narrow" w:hAnsi="Arial Narrow"/>
                <w:b/>
                <w:bCs/>
                <w:color w:val="FFFFFF"/>
                <w:sz w:val="17"/>
                <w:szCs w:val="17"/>
                <w:lang w:eastAsia="it-IT"/>
              </w:rPr>
            </w:pPr>
            <w:r w:rsidRPr="00A4252C">
              <w:rPr>
                <w:rFonts w:ascii="Arial Narrow" w:hAnsi="Arial Narrow"/>
                <w:bCs/>
                <w:color w:val="FFFFFF"/>
                <w:sz w:val="17"/>
                <w:szCs w:val="17"/>
                <w:lang w:eastAsia="it-IT"/>
              </w:rPr>
              <w:t>(escluso lavoro in somministrazione e intermittente)</w:t>
            </w:r>
          </w:p>
        </w:tc>
        <w:tc>
          <w:tcPr>
            <w:tcW w:w="895" w:type="dxa"/>
            <w:shd w:val="clear" w:color="auto" w:fill="17365D"/>
            <w:vAlign w:val="center"/>
          </w:tcPr>
          <w:p w14:paraId="7708EA17" w14:textId="77777777" w:rsidR="004176C3" w:rsidRPr="00A4252C" w:rsidRDefault="004176C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Agricoltura (A)</w:t>
            </w:r>
          </w:p>
        </w:tc>
        <w:tc>
          <w:tcPr>
            <w:tcW w:w="738" w:type="dxa"/>
            <w:shd w:val="clear" w:color="auto" w:fill="17365D"/>
            <w:vAlign w:val="center"/>
          </w:tcPr>
          <w:p w14:paraId="2C09748F" w14:textId="77777777" w:rsidR="004176C3" w:rsidRPr="00A4252C" w:rsidRDefault="004176C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Industria (B-F)</w:t>
            </w:r>
          </w:p>
        </w:tc>
        <w:tc>
          <w:tcPr>
            <w:tcW w:w="807" w:type="dxa"/>
            <w:shd w:val="clear" w:color="auto" w:fill="17365D"/>
            <w:vAlign w:val="center"/>
          </w:tcPr>
          <w:p w14:paraId="4ABB055B" w14:textId="77777777" w:rsidR="008C4FAA" w:rsidRPr="00A4252C" w:rsidRDefault="004176C3" w:rsidP="008C4FAA">
            <w:pPr>
              <w:spacing w:before="40" w:after="20"/>
              <w:jc w:val="center"/>
              <w:rPr>
                <w:rFonts w:ascii="Arial Narrow" w:hAnsi="Arial Narrow"/>
                <w:bCs/>
                <w:i/>
                <w:color w:val="FFFFFF"/>
                <w:sz w:val="17"/>
                <w:szCs w:val="17"/>
                <w:lang w:eastAsia="it-IT"/>
              </w:rPr>
            </w:pPr>
            <w:r w:rsidRPr="00A4252C">
              <w:rPr>
                <w:rFonts w:ascii="Arial Narrow" w:hAnsi="Arial Narrow"/>
                <w:bCs/>
                <w:i/>
                <w:color w:val="FFFFFF"/>
                <w:sz w:val="17"/>
                <w:szCs w:val="17"/>
                <w:lang w:eastAsia="it-IT"/>
              </w:rPr>
              <w:t>Industria in senso stretto</w:t>
            </w:r>
          </w:p>
          <w:p w14:paraId="01C963B3" w14:textId="03C9541F" w:rsidR="004176C3" w:rsidRPr="00A4252C" w:rsidRDefault="004176C3" w:rsidP="008C4FAA">
            <w:pPr>
              <w:spacing w:before="40" w:after="20"/>
              <w:jc w:val="center"/>
              <w:rPr>
                <w:rFonts w:ascii="Arial Narrow" w:hAnsi="Arial Narrow"/>
                <w:bCs/>
                <w:i/>
                <w:color w:val="FFFFFF"/>
                <w:sz w:val="17"/>
                <w:szCs w:val="17"/>
                <w:lang w:eastAsia="it-IT"/>
              </w:rPr>
            </w:pPr>
            <w:r w:rsidRPr="00A4252C">
              <w:rPr>
                <w:rFonts w:ascii="Arial Narrow" w:hAnsi="Arial Narrow"/>
                <w:bCs/>
                <w:i/>
                <w:color w:val="FFFFFF"/>
                <w:sz w:val="17"/>
                <w:szCs w:val="17"/>
                <w:lang w:eastAsia="it-IT"/>
              </w:rPr>
              <w:t>(B-E)</w:t>
            </w:r>
          </w:p>
        </w:tc>
        <w:tc>
          <w:tcPr>
            <w:tcW w:w="848" w:type="dxa"/>
            <w:shd w:val="clear" w:color="auto" w:fill="17365D"/>
            <w:vAlign w:val="center"/>
          </w:tcPr>
          <w:p w14:paraId="26028406" w14:textId="77777777" w:rsidR="004176C3" w:rsidRPr="00A4252C" w:rsidRDefault="004176C3">
            <w:pPr>
              <w:spacing w:before="40" w:after="20"/>
              <w:jc w:val="center"/>
              <w:rPr>
                <w:rFonts w:ascii="Arial Narrow" w:hAnsi="Arial Narrow"/>
                <w:bCs/>
                <w:i/>
                <w:color w:val="FFFFFF"/>
                <w:sz w:val="17"/>
                <w:szCs w:val="17"/>
                <w:lang w:eastAsia="it-IT"/>
              </w:rPr>
            </w:pPr>
            <w:r w:rsidRPr="00A4252C">
              <w:rPr>
                <w:rFonts w:ascii="Arial Narrow" w:hAnsi="Arial Narrow"/>
                <w:bCs/>
                <w:i/>
                <w:color w:val="FFFFFF"/>
                <w:sz w:val="17"/>
                <w:szCs w:val="17"/>
                <w:lang w:eastAsia="it-IT"/>
              </w:rPr>
              <w:t>Costruzioni (F)</w:t>
            </w:r>
          </w:p>
        </w:tc>
        <w:tc>
          <w:tcPr>
            <w:tcW w:w="652" w:type="dxa"/>
            <w:shd w:val="clear" w:color="auto" w:fill="17365D"/>
            <w:vAlign w:val="center"/>
          </w:tcPr>
          <w:p w14:paraId="498FA449" w14:textId="77777777" w:rsidR="004176C3" w:rsidRPr="00A4252C" w:rsidRDefault="004176C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Servizi (G-U)</w:t>
            </w:r>
          </w:p>
        </w:tc>
        <w:tc>
          <w:tcPr>
            <w:tcW w:w="658" w:type="dxa"/>
            <w:shd w:val="clear" w:color="auto" w:fill="17365D"/>
            <w:vAlign w:val="center"/>
          </w:tcPr>
          <w:p w14:paraId="269E67A7" w14:textId="77777777" w:rsidR="004176C3" w:rsidRPr="00A4252C" w:rsidRDefault="004176C3">
            <w:pPr>
              <w:spacing w:before="40" w:after="20"/>
              <w:jc w:val="center"/>
              <w:rPr>
                <w:rFonts w:ascii="Arial Narrow" w:hAnsi="Arial Narrow"/>
                <w:bCs/>
                <w:i/>
                <w:color w:val="FFFFFF"/>
                <w:sz w:val="17"/>
                <w:szCs w:val="17"/>
                <w:lang w:eastAsia="it-IT"/>
              </w:rPr>
            </w:pPr>
            <w:r w:rsidRPr="00A4252C">
              <w:rPr>
                <w:rFonts w:ascii="Arial Narrow" w:hAnsi="Arial Narrow"/>
                <w:bCs/>
                <w:i/>
                <w:color w:val="FFFFFF"/>
                <w:sz w:val="17"/>
                <w:szCs w:val="17"/>
                <w:lang w:eastAsia="it-IT"/>
              </w:rPr>
              <w:t>Servizi di mercato (G-N)</w:t>
            </w:r>
          </w:p>
        </w:tc>
        <w:tc>
          <w:tcPr>
            <w:tcW w:w="646" w:type="dxa"/>
            <w:shd w:val="clear" w:color="auto" w:fill="17365D"/>
            <w:vAlign w:val="center"/>
          </w:tcPr>
          <w:p w14:paraId="25FB310F" w14:textId="77777777" w:rsidR="004176C3" w:rsidRPr="00A4252C" w:rsidRDefault="004176C3">
            <w:pPr>
              <w:spacing w:before="40" w:after="20"/>
              <w:jc w:val="center"/>
              <w:rPr>
                <w:rFonts w:ascii="Arial Narrow" w:hAnsi="Arial Narrow"/>
                <w:bCs/>
                <w:i/>
                <w:color w:val="FFFFFF"/>
                <w:sz w:val="17"/>
                <w:szCs w:val="17"/>
                <w:lang w:eastAsia="it-IT"/>
              </w:rPr>
            </w:pPr>
            <w:r w:rsidRPr="00A4252C">
              <w:rPr>
                <w:rFonts w:ascii="Arial Narrow" w:hAnsi="Arial Narrow"/>
                <w:bCs/>
                <w:i/>
                <w:color w:val="FFFFFF"/>
                <w:sz w:val="17"/>
                <w:szCs w:val="17"/>
                <w:lang w:eastAsia="it-IT"/>
              </w:rPr>
              <w:t>Altri servizi (O-U)</w:t>
            </w:r>
          </w:p>
        </w:tc>
        <w:tc>
          <w:tcPr>
            <w:tcW w:w="649" w:type="dxa"/>
            <w:shd w:val="clear" w:color="auto" w:fill="17365D"/>
            <w:vAlign w:val="center"/>
          </w:tcPr>
          <w:p w14:paraId="3095D98D" w14:textId="77777777" w:rsidR="004176C3" w:rsidRPr="00A4252C" w:rsidRDefault="004176C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Totale (A-U)</w:t>
            </w:r>
          </w:p>
        </w:tc>
      </w:tr>
      <w:tr w:rsidR="004176C3" w:rsidRPr="00A4252C" w14:paraId="7B5548A6" w14:textId="77777777" w:rsidTr="0037315C">
        <w:trPr>
          <w:trHeight w:val="255"/>
        </w:trPr>
        <w:tc>
          <w:tcPr>
            <w:tcW w:w="9645" w:type="dxa"/>
            <w:gridSpan w:val="10"/>
            <w:noWrap/>
            <w:vAlign w:val="center"/>
          </w:tcPr>
          <w:p w14:paraId="2EFEAD90" w14:textId="77777777" w:rsidR="004176C3" w:rsidRPr="00A4252C" w:rsidRDefault="004176C3" w:rsidP="00926DBE">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DATI GREZZI</w:t>
            </w:r>
          </w:p>
        </w:tc>
      </w:tr>
      <w:tr w:rsidR="00CD74D3" w:rsidRPr="008B054A" w14:paraId="5EC88448" w14:textId="77777777" w:rsidTr="0037315C">
        <w:trPr>
          <w:trHeight w:val="255"/>
        </w:trPr>
        <w:tc>
          <w:tcPr>
            <w:tcW w:w="1074" w:type="dxa"/>
            <w:vMerge w:val="restart"/>
            <w:vAlign w:val="center"/>
          </w:tcPr>
          <w:p w14:paraId="11D0F242" w14:textId="77777777" w:rsidR="00CD74D3" w:rsidRPr="00A4252C" w:rsidRDefault="00CD74D3" w:rsidP="00CD74D3">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Tempo indeterminato</w:t>
            </w:r>
            <w:r w:rsidRPr="00A4252C">
              <w:rPr>
                <w:rFonts w:ascii="Arial Narrow" w:hAnsi="Arial Narrow"/>
                <w:sz w:val="17"/>
                <w:szCs w:val="17"/>
                <w:lang w:eastAsia="it-IT"/>
              </w:rPr>
              <w:t xml:space="preserve"> (incluso apprendistato)</w:t>
            </w:r>
          </w:p>
        </w:tc>
        <w:tc>
          <w:tcPr>
            <w:tcW w:w="2678" w:type="dxa"/>
            <w:noWrap/>
            <w:vAlign w:val="center"/>
          </w:tcPr>
          <w:p w14:paraId="17EA7B76"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Attivazioni (b)</w:t>
            </w:r>
          </w:p>
        </w:tc>
        <w:tc>
          <w:tcPr>
            <w:tcW w:w="895" w:type="dxa"/>
            <w:shd w:val="clear" w:color="auto" w:fill="F2F2F2"/>
            <w:noWrap/>
            <w:vAlign w:val="bottom"/>
          </w:tcPr>
          <w:p w14:paraId="198F1B29" w14:textId="746E3273"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14</w:t>
            </w:r>
          </w:p>
        </w:tc>
        <w:tc>
          <w:tcPr>
            <w:tcW w:w="738" w:type="dxa"/>
            <w:noWrap/>
            <w:vAlign w:val="center"/>
          </w:tcPr>
          <w:p w14:paraId="2211BDB3" w14:textId="0176CCF1"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586</w:t>
            </w:r>
          </w:p>
        </w:tc>
        <w:tc>
          <w:tcPr>
            <w:tcW w:w="807" w:type="dxa"/>
            <w:shd w:val="clear" w:color="auto" w:fill="F2F2F2"/>
            <w:noWrap/>
            <w:vAlign w:val="bottom"/>
          </w:tcPr>
          <w:p w14:paraId="1DA752A6" w14:textId="471FB4D5"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365</w:t>
            </w:r>
          </w:p>
        </w:tc>
        <w:tc>
          <w:tcPr>
            <w:tcW w:w="848" w:type="dxa"/>
            <w:vAlign w:val="center"/>
          </w:tcPr>
          <w:p w14:paraId="371A5CE2" w14:textId="2AB86285"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222</w:t>
            </w:r>
          </w:p>
        </w:tc>
        <w:tc>
          <w:tcPr>
            <w:tcW w:w="652" w:type="dxa"/>
            <w:shd w:val="clear" w:color="auto" w:fill="F2F2F2"/>
            <w:vAlign w:val="center"/>
          </w:tcPr>
          <w:p w14:paraId="096A14E2" w14:textId="0D3AC0AC" w:rsidR="00CD74D3" w:rsidRPr="00A51547" w:rsidRDefault="00CD74D3" w:rsidP="000A4BF2">
            <w:pPr>
              <w:spacing w:before="40" w:after="20"/>
              <w:jc w:val="right"/>
              <w:rPr>
                <w:rFonts w:ascii="Arial Narrow" w:hAnsi="Arial Narrow"/>
                <w:sz w:val="17"/>
                <w:szCs w:val="17"/>
              </w:rPr>
            </w:pPr>
            <w:r w:rsidRPr="00A51547">
              <w:rPr>
                <w:rFonts w:ascii="Arial Narrow" w:hAnsi="Arial Narrow"/>
                <w:sz w:val="17"/>
                <w:szCs w:val="17"/>
              </w:rPr>
              <w:t>1</w:t>
            </w:r>
            <w:r w:rsidR="000A4BF2">
              <w:rPr>
                <w:rFonts w:ascii="Arial Narrow" w:hAnsi="Arial Narrow"/>
                <w:sz w:val="17"/>
                <w:szCs w:val="17"/>
              </w:rPr>
              <w:t>.</w:t>
            </w:r>
            <w:r w:rsidRPr="00A51547">
              <w:rPr>
                <w:rFonts w:ascii="Arial Narrow" w:hAnsi="Arial Narrow"/>
                <w:sz w:val="17"/>
                <w:szCs w:val="17"/>
              </w:rPr>
              <w:t>473</w:t>
            </w:r>
          </w:p>
        </w:tc>
        <w:tc>
          <w:tcPr>
            <w:tcW w:w="658" w:type="dxa"/>
            <w:vAlign w:val="center"/>
          </w:tcPr>
          <w:p w14:paraId="45AFE038" w14:textId="7BE6D503"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910</w:t>
            </w:r>
          </w:p>
        </w:tc>
        <w:tc>
          <w:tcPr>
            <w:tcW w:w="646" w:type="dxa"/>
            <w:shd w:val="clear" w:color="auto" w:fill="F2F2F2"/>
            <w:vAlign w:val="center"/>
          </w:tcPr>
          <w:p w14:paraId="07398E14" w14:textId="0D5449F2"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563</w:t>
            </w:r>
          </w:p>
        </w:tc>
        <w:tc>
          <w:tcPr>
            <w:tcW w:w="649" w:type="dxa"/>
            <w:vAlign w:val="center"/>
          </w:tcPr>
          <w:p w14:paraId="460C3E8D" w14:textId="274935DB"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2</w:t>
            </w:r>
            <w:r w:rsidR="00FC11E3">
              <w:rPr>
                <w:rFonts w:ascii="Arial Narrow" w:hAnsi="Arial Narrow"/>
                <w:sz w:val="17"/>
                <w:szCs w:val="17"/>
              </w:rPr>
              <w:t>.</w:t>
            </w:r>
            <w:r w:rsidRPr="00A51547">
              <w:rPr>
                <w:rFonts w:ascii="Arial Narrow" w:hAnsi="Arial Narrow"/>
                <w:sz w:val="17"/>
                <w:szCs w:val="17"/>
              </w:rPr>
              <w:t>073</w:t>
            </w:r>
          </w:p>
        </w:tc>
      </w:tr>
      <w:tr w:rsidR="00CD74D3" w:rsidRPr="008B054A" w14:paraId="14F24F96" w14:textId="77777777" w:rsidTr="0037315C">
        <w:trPr>
          <w:trHeight w:val="255"/>
        </w:trPr>
        <w:tc>
          <w:tcPr>
            <w:tcW w:w="1074" w:type="dxa"/>
            <w:vMerge/>
            <w:vAlign w:val="center"/>
          </w:tcPr>
          <w:p w14:paraId="4D87AEEC"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694E7BBC"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Trasformazioni a tempo indeterminato</w:t>
            </w:r>
          </w:p>
        </w:tc>
        <w:tc>
          <w:tcPr>
            <w:tcW w:w="895" w:type="dxa"/>
            <w:shd w:val="clear" w:color="auto" w:fill="F2F2F2"/>
            <w:noWrap/>
            <w:vAlign w:val="center"/>
          </w:tcPr>
          <w:p w14:paraId="02EDB9A3" w14:textId="53A99521"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4</w:t>
            </w:r>
          </w:p>
        </w:tc>
        <w:tc>
          <w:tcPr>
            <w:tcW w:w="738" w:type="dxa"/>
            <w:noWrap/>
            <w:vAlign w:val="center"/>
          </w:tcPr>
          <w:p w14:paraId="74F749A0" w14:textId="22AD1589"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185</w:t>
            </w:r>
          </w:p>
        </w:tc>
        <w:tc>
          <w:tcPr>
            <w:tcW w:w="807" w:type="dxa"/>
            <w:shd w:val="clear" w:color="auto" w:fill="F2F2F2"/>
            <w:noWrap/>
            <w:vAlign w:val="bottom"/>
          </w:tcPr>
          <w:p w14:paraId="4DD06DCC" w14:textId="14569748"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131</w:t>
            </w:r>
          </w:p>
        </w:tc>
        <w:tc>
          <w:tcPr>
            <w:tcW w:w="848" w:type="dxa"/>
            <w:noWrap/>
            <w:vAlign w:val="bottom"/>
          </w:tcPr>
          <w:p w14:paraId="50110074" w14:textId="01732555"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53</w:t>
            </w:r>
          </w:p>
        </w:tc>
        <w:tc>
          <w:tcPr>
            <w:tcW w:w="652" w:type="dxa"/>
            <w:shd w:val="clear" w:color="auto" w:fill="F2F2F2"/>
            <w:noWrap/>
            <w:vAlign w:val="center"/>
          </w:tcPr>
          <w:p w14:paraId="374B37B6" w14:textId="7B522A7C"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403</w:t>
            </w:r>
          </w:p>
        </w:tc>
        <w:tc>
          <w:tcPr>
            <w:tcW w:w="658" w:type="dxa"/>
            <w:noWrap/>
            <w:vAlign w:val="center"/>
          </w:tcPr>
          <w:p w14:paraId="5BA5053A" w14:textId="79C21218"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313</w:t>
            </w:r>
          </w:p>
        </w:tc>
        <w:tc>
          <w:tcPr>
            <w:tcW w:w="646" w:type="dxa"/>
            <w:shd w:val="clear" w:color="auto" w:fill="F2F2F2"/>
            <w:noWrap/>
            <w:vAlign w:val="center"/>
          </w:tcPr>
          <w:p w14:paraId="64C6602E" w14:textId="321BCFF8"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90</w:t>
            </w:r>
          </w:p>
        </w:tc>
        <w:tc>
          <w:tcPr>
            <w:tcW w:w="649" w:type="dxa"/>
            <w:noWrap/>
            <w:vAlign w:val="center"/>
          </w:tcPr>
          <w:p w14:paraId="2964A3F2" w14:textId="352F11C5"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592</w:t>
            </w:r>
          </w:p>
        </w:tc>
      </w:tr>
      <w:tr w:rsidR="00CD74D3" w:rsidRPr="008B054A" w14:paraId="6B298FE1" w14:textId="77777777" w:rsidTr="0037315C">
        <w:trPr>
          <w:trHeight w:val="255"/>
        </w:trPr>
        <w:tc>
          <w:tcPr>
            <w:tcW w:w="1074" w:type="dxa"/>
            <w:vMerge/>
            <w:vAlign w:val="center"/>
          </w:tcPr>
          <w:p w14:paraId="2EE3EAB6"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78B00AF3"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Cessazioni (c)</w:t>
            </w:r>
          </w:p>
        </w:tc>
        <w:tc>
          <w:tcPr>
            <w:tcW w:w="895" w:type="dxa"/>
            <w:shd w:val="clear" w:color="auto" w:fill="F2F2F2"/>
            <w:noWrap/>
            <w:vAlign w:val="center"/>
          </w:tcPr>
          <w:p w14:paraId="14A10D62" w14:textId="73A388E2"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14</w:t>
            </w:r>
          </w:p>
        </w:tc>
        <w:tc>
          <w:tcPr>
            <w:tcW w:w="738" w:type="dxa"/>
            <w:noWrap/>
            <w:vAlign w:val="center"/>
          </w:tcPr>
          <w:p w14:paraId="018B1AE2" w14:textId="6C011130"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656</w:t>
            </w:r>
          </w:p>
        </w:tc>
        <w:tc>
          <w:tcPr>
            <w:tcW w:w="807" w:type="dxa"/>
            <w:shd w:val="clear" w:color="auto" w:fill="F2F2F2"/>
            <w:noWrap/>
            <w:vAlign w:val="bottom"/>
          </w:tcPr>
          <w:p w14:paraId="5092FF02" w14:textId="343EC142"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413</w:t>
            </w:r>
          </w:p>
        </w:tc>
        <w:tc>
          <w:tcPr>
            <w:tcW w:w="848" w:type="dxa"/>
            <w:noWrap/>
            <w:vAlign w:val="center"/>
          </w:tcPr>
          <w:p w14:paraId="324DBE54" w14:textId="286AF631"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243</w:t>
            </w:r>
          </w:p>
        </w:tc>
        <w:tc>
          <w:tcPr>
            <w:tcW w:w="652" w:type="dxa"/>
            <w:shd w:val="clear" w:color="auto" w:fill="F2F2F2"/>
            <w:noWrap/>
            <w:vAlign w:val="center"/>
          </w:tcPr>
          <w:p w14:paraId="6B8B7035" w14:textId="6E73B48B"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594</w:t>
            </w:r>
          </w:p>
        </w:tc>
        <w:tc>
          <w:tcPr>
            <w:tcW w:w="658" w:type="dxa"/>
            <w:noWrap/>
            <w:vAlign w:val="center"/>
          </w:tcPr>
          <w:p w14:paraId="5F5C9D55" w14:textId="659E1BF9"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017</w:t>
            </w:r>
          </w:p>
        </w:tc>
        <w:tc>
          <w:tcPr>
            <w:tcW w:w="646" w:type="dxa"/>
            <w:shd w:val="clear" w:color="auto" w:fill="F2F2F2"/>
            <w:noWrap/>
            <w:vAlign w:val="center"/>
          </w:tcPr>
          <w:p w14:paraId="7F0CBE49" w14:textId="7CC266ED"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577</w:t>
            </w:r>
          </w:p>
        </w:tc>
        <w:tc>
          <w:tcPr>
            <w:tcW w:w="649" w:type="dxa"/>
            <w:noWrap/>
            <w:vAlign w:val="center"/>
          </w:tcPr>
          <w:p w14:paraId="26ECF2C1" w14:textId="2E275F77"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2</w:t>
            </w:r>
            <w:r w:rsidR="00FC11E3">
              <w:rPr>
                <w:rFonts w:ascii="Arial Narrow" w:hAnsi="Arial Narrow"/>
                <w:sz w:val="17"/>
                <w:szCs w:val="17"/>
              </w:rPr>
              <w:t>.</w:t>
            </w:r>
            <w:r w:rsidRPr="00A51547">
              <w:rPr>
                <w:rFonts w:ascii="Arial Narrow" w:hAnsi="Arial Narrow"/>
                <w:sz w:val="17"/>
                <w:szCs w:val="17"/>
              </w:rPr>
              <w:t>264</w:t>
            </w:r>
          </w:p>
        </w:tc>
      </w:tr>
      <w:tr w:rsidR="00CD74D3" w:rsidRPr="008B054A" w14:paraId="12982310" w14:textId="77777777" w:rsidTr="0037315C">
        <w:trPr>
          <w:trHeight w:val="255"/>
        </w:trPr>
        <w:tc>
          <w:tcPr>
            <w:tcW w:w="1074" w:type="dxa"/>
            <w:vMerge/>
            <w:vAlign w:val="center"/>
          </w:tcPr>
          <w:p w14:paraId="3481ACAA"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6DC9CE65" w14:textId="77777777" w:rsidR="00CD74D3" w:rsidRPr="00A4252C" w:rsidRDefault="00CD74D3" w:rsidP="00CD74D3">
            <w:pPr>
              <w:spacing w:before="40" w:after="20"/>
              <w:jc w:val="left"/>
              <w:rPr>
                <w:rFonts w:ascii="Arial Narrow" w:hAnsi="Arial Narrow"/>
                <w:b/>
                <w:sz w:val="17"/>
                <w:szCs w:val="17"/>
              </w:rPr>
            </w:pPr>
            <w:r w:rsidRPr="00A4252C">
              <w:rPr>
                <w:rFonts w:ascii="Arial Narrow" w:hAnsi="Arial Narrow"/>
                <w:b/>
                <w:sz w:val="17"/>
                <w:szCs w:val="17"/>
              </w:rPr>
              <w:t>Posizioni lavorative (d)</w:t>
            </w:r>
          </w:p>
        </w:tc>
        <w:tc>
          <w:tcPr>
            <w:tcW w:w="895" w:type="dxa"/>
            <w:shd w:val="clear" w:color="auto" w:fill="F2F2F2"/>
            <w:noWrap/>
            <w:vAlign w:val="bottom"/>
          </w:tcPr>
          <w:p w14:paraId="71FFF452" w14:textId="5B50447F"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3</w:t>
            </w:r>
          </w:p>
        </w:tc>
        <w:tc>
          <w:tcPr>
            <w:tcW w:w="738" w:type="dxa"/>
            <w:noWrap/>
            <w:vAlign w:val="center"/>
          </w:tcPr>
          <w:p w14:paraId="034CE2E8" w14:textId="625ABE7F"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115</w:t>
            </w:r>
          </w:p>
        </w:tc>
        <w:tc>
          <w:tcPr>
            <w:tcW w:w="807" w:type="dxa"/>
            <w:shd w:val="clear" w:color="auto" w:fill="F2F2F2"/>
            <w:noWrap/>
            <w:vAlign w:val="bottom"/>
          </w:tcPr>
          <w:p w14:paraId="37A98E29" w14:textId="2FA01AB8"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83</w:t>
            </w:r>
          </w:p>
        </w:tc>
        <w:tc>
          <w:tcPr>
            <w:tcW w:w="848" w:type="dxa"/>
            <w:noWrap/>
            <w:vAlign w:val="center"/>
          </w:tcPr>
          <w:p w14:paraId="7EBF975B" w14:textId="75CA9C7F"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32</w:t>
            </w:r>
          </w:p>
        </w:tc>
        <w:tc>
          <w:tcPr>
            <w:tcW w:w="652" w:type="dxa"/>
            <w:shd w:val="clear" w:color="auto" w:fill="F2F2F2"/>
            <w:noWrap/>
            <w:vAlign w:val="center"/>
          </w:tcPr>
          <w:p w14:paraId="171E7473" w14:textId="28590B87"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282</w:t>
            </w:r>
          </w:p>
        </w:tc>
        <w:tc>
          <w:tcPr>
            <w:tcW w:w="658" w:type="dxa"/>
            <w:noWrap/>
            <w:vAlign w:val="center"/>
          </w:tcPr>
          <w:p w14:paraId="066612F5" w14:textId="7F1C97CE"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206</w:t>
            </w:r>
          </w:p>
        </w:tc>
        <w:tc>
          <w:tcPr>
            <w:tcW w:w="646" w:type="dxa"/>
            <w:shd w:val="clear" w:color="auto" w:fill="F2F2F2"/>
            <w:noWrap/>
            <w:vAlign w:val="center"/>
          </w:tcPr>
          <w:p w14:paraId="14F1F6CE" w14:textId="0E2B6D36"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76</w:t>
            </w:r>
          </w:p>
        </w:tc>
        <w:tc>
          <w:tcPr>
            <w:tcW w:w="649" w:type="dxa"/>
            <w:noWrap/>
            <w:vAlign w:val="center"/>
          </w:tcPr>
          <w:p w14:paraId="21960059" w14:textId="0C3D4848"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401</w:t>
            </w:r>
          </w:p>
        </w:tc>
      </w:tr>
      <w:tr w:rsidR="00CD74D3" w:rsidRPr="008B054A" w14:paraId="33E5C2C9" w14:textId="77777777" w:rsidTr="0037315C">
        <w:trPr>
          <w:trHeight w:val="255"/>
        </w:trPr>
        <w:tc>
          <w:tcPr>
            <w:tcW w:w="1074" w:type="dxa"/>
            <w:vMerge w:val="restart"/>
            <w:vAlign w:val="center"/>
          </w:tcPr>
          <w:p w14:paraId="46805450" w14:textId="77777777" w:rsidR="00CD74D3" w:rsidRPr="00A4252C" w:rsidRDefault="00CD74D3" w:rsidP="00CD74D3">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Tempo determinato</w:t>
            </w:r>
          </w:p>
          <w:p w14:paraId="7185D049" w14:textId="442F6731" w:rsidR="00CD74D3" w:rsidRPr="00A4252C" w:rsidRDefault="00CD74D3" w:rsidP="00CD74D3">
            <w:pPr>
              <w:spacing w:before="40" w:after="20"/>
              <w:jc w:val="center"/>
              <w:rPr>
                <w:rFonts w:ascii="Arial Narrow" w:hAnsi="Arial Narrow"/>
                <w:bCs/>
                <w:sz w:val="17"/>
                <w:szCs w:val="17"/>
                <w:lang w:eastAsia="it-IT"/>
              </w:rPr>
            </w:pPr>
            <w:r w:rsidRPr="00A4252C">
              <w:rPr>
                <w:rFonts w:ascii="Arial Narrow" w:hAnsi="Arial Narrow"/>
                <w:bCs/>
                <w:sz w:val="17"/>
                <w:szCs w:val="17"/>
                <w:lang w:eastAsia="it-IT"/>
              </w:rPr>
              <w:t>(incluso stagionale)</w:t>
            </w:r>
          </w:p>
        </w:tc>
        <w:tc>
          <w:tcPr>
            <w:tcW w:w="2678" w:type="dxa"/>
            <w:noWrap/>
            <w:vAlign w:val="center"/>
          </w:tcPr>
          <w:p w14:paraId="3594788E"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Attivazioni (b)</w:t>
            </w:r>
          </w:p>
        </w:tc>
        <w:tc>
          <w:tcPr>
            <w:tcW w:w="895" w:type="dxa"/>
            <w:shd w:val="clear" w:color="auto" w:fill="F2F2F2"/>
            <w:noWrap/>
            <w:vAlign w:val="bottom"/>
          </w:tcPr>
          <w:p w14:paraId="1BE1B921" w14:textId="3110122E"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613</w:t>
            </w:r>
          </w:p>
        </w:tc>
        <w:tc>
          <w:tcPr>
            <w:tcW w:w="738" w:type="dxa"/>
            <w:noWrap/>
            <w:vAlign w:val="center"/>
          </w:tcPr>
          <w:p w14:paraId="3D87DCCA" w14:textId="7F2DF05F"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982</w:t>
            </w:r>
          </w:p>
        </w:tc>
        <w:tc>
          <w:tcPr>
            <w:tcW w:w="807" w:type="dxa"/>
            <w:shd w:val="clear" w:color="auto" w:fill="F2F2F2"/>
            <w:noWrap/>
            <w:vAlign w:val="bottom"/>
          </w:tcPr>
          <w:p w14:paraId="202DF4E5" w14:textId="539E2128"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590</w:t>
            </w:r>
          </w:p>
        </w:tc>
        <w:tc>
          <w:tcPr>
            <w:tcW w:w="848" w:type="dxa"/>
            <w:vAlign w:val="center"/>
          </w:tcPr>
          <w:p w14:paraId="1E18C1EC" w14:textId="41CA8C36"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392</w:t>
            </w:r>
          </w:p>
        </w:tc>
        <w:tc>
          <w:tcPr>
            <w:tcW w:w="652" w:type="dxa"/>
            <w:shd w:val="clear" w:color="auto" w:fill="F2F2F2"/>
            <w:vAlign w:val="center"/>
          </w:tcPr>
          <w:p w14:paraId="36D42E36" w14:textId="69DD1CD8"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5</w:t>
            </w:r>
            <w:r w:rsidR="00FC11E3">
              <w:rPr>
                <w:rFonts w:ascii="Arial Narrow" w:hAnsi="Arial Narrow"/>
                <w:sz w:val="17"/>
                <w:szCs w:val="17"/>
              </w:rPr>
              <w:t>.</w:t>
            </w:r>
            <w:r w:rsidRPr="00A51547">
              <w:rPr>
                <w:rFonts w:ascii="Arial Narrow" w:hAnsi="Arial Narrow"/>
                <w:sz w:val="17"/>
                <w:szCs w:val="17"/>
              </w:rPr>
              <w:t>375</w:t>
            </w:r>
          </w:p>
        </w:tc>
        <w:tc>
          <w:tcPr>
            <w:tcW w:w="658" w:type="dxa"/>
            <w:vAlign w:val="center"/>
          </w:tcPr>
          <w:p w14:paraId="04FD9F4B" w14:textId="18DBB08C"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3</w:t>
            </w:r>
            <w:r w:rsidR="00FC11E3">
              <w:rPr>
                <w:rFonts w:ascii="Arial Narrow" w:hAnsi="Arial Narrow"/>
                <w:sz w:val="17"/>
                <w:szCs w:val="17"/>
              </w:rPr>
              <w:t>.</w:t>
            </w:r>
            <w:r w:rsidRPr="00A51547">
              <w:rPr>
                <w:rFonts w:ascii="Arial Narrow" w:hAnsi="Arial Narrow"/>
                <w:sz w:val="17"/>
                <w:szCs w:val="17"/>
              </w:rPr>
              <w:t>544</w:t>
            </w:r>
          </w:p>
        </w:tc>
        <w:tc>
          <w:tcPr>
            <w:tcW w:w="646" w:type="dxa"/>
            <w:shd w:val="clear" w:color="auto" w:fill="F2F2F2"/>
            <w:vAlign w:val="center"/>
          </w:tcPr>
          <w:p w14:paraId="10D4B347" w14:textId="3007858E"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831</w:t>
            </w:r>
          </w:p>
        </w:tc>
        <w:tc>
          <w:tcPr>
            <w:tcW w:w="649" w:type="dxa"/>
            <w:vAlign w:val="center"/>
          </w:tcPr>
          <w:p w14:paraId="4AEE52A8" w14:textId="313BD9B9"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7</w:t>
            </w:r>
            <w:r w:rsidR="00FC11E3">
              <w:rPr>
                <w:rFonts w:ascii="Arial Narrow" w:hAnsi="Arial Narrow"/>
                <w:sz w:val="17"/>
                <w:szCs w:val="17"/>
              </w:rPr>
              <w:t>.</w:t>
            </w:r>
            <w:r w:rsidRPr="00A51547">
              <w:rPr>
                <w:rFonts w:ascii="Arial Narrow" w:hAnsi="Arial Narrow"/>
                <w:sz w:val="17"/>
                <w:szCs w:val="17"/>
              </w:rPr>
              <w:t>969</w:t>
            </w:r>
          </w:p>
        </w:tc>
      </w:tr>
      <w:tr w:rsidR="00CD74D3" w:rsidRPr="008B054A" w14:paraId="137BE903" w14:textId="77777777" w:rsidTr="0037315C">
        <w:trPr>
          <w:trHeight w:val="255"/>
        </w:trPr>
        <w:tc>
          <w:tcPr>
            <w:tcW w:w="1074" w:type="dxa"/>
            <w:vMerge/>
            <w:vAlign w:val="center"/>
          </w:tcPr>
          <w:p w14:paraId="106E6500"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76256B84"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Trasformazioni a tempo indeterminato</w:t>
            </w:r>
          </w:p>
        </w:tc>
        <w:tc>
          <w:tcPr>
            <w:tcW w:w="895" w:type="dxa"/>
            <w:shd w:val="clear" w:color="auto" w:fill="F2F2F2"/>
            <w:noWrap/>
            <w:vAlign w:val="center"/>
          </w:tcPr>
          <w:p w14:paraId="149AA1D7" w14:textId="5CA2D675"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-4</w:t>
            </w:r>
          </w:p>
        </w:tc>
        <w:tc>
          <w:tcPr>
            <w:tcW w:w="738" w:type="dxa"/>
            <w:noWrap/>
            <w:vAlign w:val="center"/>
          </w:tcPr>
          <w:p w14:paraId="0B3F6464" w14:textId="17818AE2"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-185</w:t>
            </w:r>
          </w:p>
        </w:tc>
        <w:tc>
          <w:tcPr>
            <w:tcW w:w="807" w:type="dxa"/>
            <w:shd w:val="clear" w:color="auto" w:fill="F2F2F2"/>
            <w:noWrap/>
            <w:vAlign w:val="bottom"/>
          </w:tcPr>
          <w:p w14:paraId="19FAF50C" w14:textId="72A980BF"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-131</w:t>
            </w:r>
          </w:p>
        </w:tc>
        <w:tc>
          <w:tcPr>
            <w:tcW w:w="848" w:type="dxa"/>
            <w:noWrap/>
            <w:vAlign w:val="center"/>
          </w:tcPr>
          <w:p w14:paraId="4B9780FC" w14:textId="4D33267D"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-53</w:t>
            </w:r>
          </w:p>
        </w:tc>
        <w:tc>
          <w:tcPr>
            <w:tcW w:w="652" w:type="dxa"/>
            <w:shd w:val="clear" w:color="auto" w:fill="F2F2F2"/>
            <w:noWrap/>
            <w:vAlign w:val="center"/>
          </w:tcPr>
          <w:p w14:paraId="0E3C2329" w14:textId="5E9CAEAA"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-403</w:t>
            </w:r>
          </w:p>
        </w:tc>
        <w:tc>
          <w:tcPr>
            <w:tcW w:w="658" w:type="dxa"/>
            <w:noWrap/>
            <w:vAlign w:val="center"/>
          </w:tcPr>
          <w:p w14:paraId="341D86AE" w14:textId="713574BB"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-313</w:t>
            </w:r>
          </w:p>
        </w:tc>
        <w:tc>
          <w:tcPr>
            <w:tcW w:w="646" w:type="dxa"/>
            <w:shd w:val="clear" w:color="auto" w:fill="F2F2F2"/>
            <w:noWrap/>
            <w:vAlign w:val="center"/>
          </w:tcPr>
          <w:p w14:paraId="6BC4902F" w14:textId="76090BFE"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-90</w:t>
            </w:r>
          </w:p>
        </w:tc>
        <w:tc>
          <w:tcPr>
            <w:tcW w:w="649" w:type="dxa"/>
            <w:noWrap/>
            <w:vAlign w:val="center"/>
          </w:tcPr>
          <w:p w14:paraId="6EDC4625" w14:textId="1F1C7A51"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-592</w:t>
            </w:r>
          </w:p>
        </w:tc>
      </w:tr>
      <w:tr w:rsidR="00CD74D3" w:rsidRPr="008B054A" w14:paraId="361C2BC6" w14:textId="77777777" w:rsidTr="0037315C">
        <w:trPr>
          <w:trHeight w:val="255"/>
        </w:trPr>
        <w:tc>
          <w:tcPr>
            <w:tcW w:w="1074" w:type="dxa"/>
            <w:vMerge/>
            <w:vAlign w:val="center"/>
          </w:tcPr>
          <w:p w14:paraId="13A6DD67"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03886C92"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Cessazioni (c)</w:t>
            </w:r>
          </w:p>
        </w:tc>
        <w:tc>
          <w:tcPr>
            <w:tcW w:w="895" w:type="dxa"/>
            <w:shd w:val="clear" w:color="auto" w:fill="F2F2F2"/>
            <w:noWrap/>
            <w:vAlign w:val="center"/>
          </w:tcPr>
          <w:p w14:paraId="23B9E0B4" w14:textId="2E36B43E"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603</w:t>
            </w:r>
          </w:p>
        </w:tc>
        <w:tc>
          <w:tcPr>
            <w:tcW w:w="738" w:type="dxa"/>
            <w:noWrap/>
            <w:vAlign w:val="center"/>
          </w:tcPr>
          <w:p w14:paraId="2CEE0DB1" w14:textId="2E54F597"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817</w:t>
            </w:r>
          </w:p>
        </w:tc>
        <w:tc>
          <w:tcPr>
            <w:tcW w:w="807" w:type="dxa"/>
            <w:shd w:val="clear" w:color="auto" w:fill="F2F2F2"/>
            <w:noWrap/>
            <w:vAlign w:val="bottom"/>
          </w:tcPr>
          <w:p w14:paraId="439010E6" w14:textId="1ADF8556"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480</w:t>
            </w:r>
          </w:p>
        </w:tc>
        <w:tc>
          <w:tcPr>
            <w:tcW w:w="848" w:type="dxa"/>
            <w:noWrap/>
            <w:vAlign w:val="bottom"/>
          </w:tcPr>
          <w:p w14:paraId="08E519FB" w14:textId="1C4B0E48"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337</w:t>
            </w:r>
          </w:p>
        </w:tc>
        <w:tc>
          <w:tcPr>
            <w:tcW w:w="652" w:type="dxa"/>
            <w:shd w:val="clear" w:color="auto" w:fill="F2F2F2"/>
            <w:noWrap/>
            <w:vAlign w:val="center"/>
          </w:tcPr>
          <w:p w14:paraId="58225E2A" w14:textId="75C5E6B3"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4</w:t>
            </w:r>
            <w:r w:rsidR="00FC11E3">
              <w:rPr>
                <w:rFonts w:ascii="Arial Narrow" w:hAnsi="Arial Narrow"/>
                <w:sz w:val="17"/>
                <w:szCs w:val="17"/>
              </w:rPr>
              <w:t>.</w:t>
            </w:r>
            <w:r w:rsidRPr="00A51547">
              <w:rPr>
                <w:rFonts w:ascii="Arial Narrow" w:hAnsi="Arial Narrow"/>
                <w:sz w:val="17"/>
                <w:szCs w:val="17"/>
              </w:rPr>
              <w:t>981</w:t>
            </w:r>
          </w:p>
        </w:tc>
        <w:tc>
          <w:tcPr>
            <w:tcW w:w="658" w:type="dxa"/>
            <w:noWrap/>
            <w:vAlign w:val="center"/>
          </w:tcPr>
          <w:p w14:paraId="39836300" w14:textId="7F1DB24D"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3</w:t>
            </w:r>
            <w:r w:rsidR="00FC11E3">
              <w:rPr>
                <w:rFonts w:ascii="Arial Narrow" w:hAnsi="Arial Narrow"/>
                <w:sz w:val="17"/>
                <w:szCs w:val="17"/>
              </w:rPr>
              <w:t>.</w:t>
            </w:r>
            <w:r w:rsidRPr="00A51547">
              <w:rPr>
                <w:rFonts w:ascii="Arial Narrow" w:hAnsi="Arial Narrow"/>
                <w:sz w:val="17"/>
                <w:szCs w:val="17"/>
              </w:rPr>
              <w:t>261</w:t>
            </w:r>
          </w:p>
        </w:tc>
        <w:tc>
          <w:tcPr>
            <w:tcW w:w="646" w:type="dxa"/>
            <w:shd w:val="clear" w:color="auto" w:fill="F2F2F2"/>
            <w:noWrap/>
            <w:vAlign w:val="center"/>
          </w:tcPr>
          <w:p w14:paraId="0079C681" w14:textId="056A924F"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720</w:t>
            </w:r>
          </w:p>
        </w:tc>
        <w:tc>
          <w:tcPr>
            <w:tcW w:w="649" w:type="dxa"/>
            <w:noWrap/>
            <w:vAlign w:val="center"/>
          </w:tcPr>
          <w:p w14:paraId="5AC0EB9F" w14:textId="3A3863E8"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7</w:t>
            </w:r>
            <w:r w:rsidR="00FC11E3">
              <w:rPr>
                <w:rFonts w:ascii="Arial Narrow" w:hAnsi="Arial Narrow"/>
                <w:sz w:val="17"/>
                <w:szCs w:val="17"/>
              </w:rPr>
              <w:t>.</w:t>
            </w:r>
            <w:r w:rsidRPr="00A51547">
              <w:rPr>
                <w:rFonts w:ascii="Arial Narrow" w:hAnsi="Arial Narrow"/>
                <w:sz w:val="17"/>
                <w:szCs w:val="17"/>
              </w:rPr>
              <w:t>402</w:t>
            </w:r>
          </w:p>
        </w:tc>
      </w:tr>
      <w:tr w:rsidR="00CD74D3" w:rsidRPr="008B054A" w14:paraId="27C568E9" w14:textId="77777777" w:rsidTr="0037315C">
        <w:trPr>
          <w:trHeight w:val="255"/>
        </w:trPr>
        <w:tc>
          <w:tcPr>
            <w:tcW w:w="1074" w:type="dxa"/>
            <w:vMerge/>
            <w:vAlign w:val="center"/>
          </w:tcPr>
          <w:p w14:paraId="71C81747"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24320285" w14:textId="77777777" w:rsidR="00CD74D3" w:rsidRPr="00A4252C" w:rsidRDefault="00CD74D3" w:rsidP="00CD74D3">
            <w:pPr>
              <w:spacing w:before="40" w:after="20"/>
              <w:rPr>
                <w:rFonts w:ascii="Arial Narrow" w:hAnsi="Arial Narrow"/>
                <w:b/>
                <w:bCs/>
                <w:color w:val="000000"/>
                <w:sz w:val="17"/>
                <w:szCs w:val="17"/>
                <w:lang w:eastAsia="it-IT"/>
              </w:rPr>
            </w:pPr>
            <w:r w:rsidRPr="00A4252C">
              <w:rPr>
                <w:rFonts w:ascii="Arial Narrow" w:hAnsi="Arial Narrow"/>
                <w:b/>
                <w:bCs/>
                <w:color w:val="000000"/>
                <w:sz w:val="17"/>
                <w:szCs w:val="17"/>
                <w:lang w:eastAsia="it-IT"/>
              </w:rPr>
              <w:t>Posizioni lavorative (d)</w:t>
            </w:r>
          </w:p>
        </w:tc>
        <w:tc>
          <w:tcPr>
            <w:tcW w:w="895" w:type="dxa"/>
            <w:shd w:val="clear" w:color="auto" w:fill="F2F2F2"/>
            <w:noWrap/>
            <w:vAlign w:val="bottom"/>
          </w:tcPr>
          <w:p w14:paraId="2D976862" w14:textId="136615BA"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5</w:t>
            </w:r>
          </w:p>
        </w:tc>
        <w:tc>
          <w:tcPr>
            <w:tcW w:w="738" w:type="dxa"/>
            <w:noWrap/>
            <w:vAlign w:val="center"/>
          </w:tcPr>
          <w:p w14:paraId="248C36B1" w14:textId="4121BF28"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-20</w:t>
            </w:r>
          </w:p>
        </w:tc>
        <w:tc>
          <w:tcPr>
            <w:tcW w:w="807" w:type="dxa"/>
            <w:shd w:val="clear" w:color="auto" w:fill="F2F2F2"/>
            <w:noWrap/>
            <w:vAlign w:val="bottom"/>
          </w:tcPr>
          <w:p w14:paraId="321AFBE5" w14:textId="4DC74330"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-22</w:t>
            </w:r>
          </w:p>
        </w:tc>
        <w:tc>
          <w:tcPr>
            <w:tcW w:w="848" w:type="dxa"/>
            <w:noWrap/>
            <w:vAlign w:val="center"/>
          </w:tcPr>
          <w:p w14:paraId="503E40A1" w14:textId="18339537"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w:t>
            </w:r>
          </w:p>
        </w:tc>
        <w:tc>
          <w:tcPr>
            <w:tcW w:w="652" w:type="dxa"/>
            <w:shd w:val="clear" w:color="auto" w:fill="F2F2F2"/>
            <w:noWrap/>
            <w:vAlign w:val="center"/>
          </w:tcPr>
          <w:p w14:paraId="7F42426B" w14:textId="4F0F1805"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-10</w:t>
            </w:r>
          </w:p>
        </w:tc>
        <w:tc>
          <w:tcPr>
            <w:tcW w:w="658" w:type="dxa"/>
            <w:noWrap/>
            <w:vAlign w:val="center"/>
          </w:tcPr>
          <w:p w14:paraId="2BFAEC39" w14:textId="12BD72F3"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-30</w:t>
            </w:r>
          </w:p>
        </w:tc>
        <w:tc>
          <w:tcPr>
            <w:tcW w:w="646" w:type="dxa"/>
            <w:shd w:val="clear" w:color="auto" w:fill="F2F2F2"/>
            <w:noWrap/>
            <w:vAlign w:val="center"/>
          </w:tcPr>
          <w:p w14:paraId="5445092B" w14:textId="683D8886"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20</w:t>
            </w:r>
          </w:p>
        </w:tc>
        <w:tc>
          <w:tcPr>
            <w:tcW w:w="649" w:type="dxa"/>
            <w:noWrap/>
            <w:vAlign w:val="center"/>
          </w:tcPr>
          <w:p w14:paraId="777D94E1" w14:textId="1B954AC7"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-24</w:t>
            </w:r>
          </w:p>
        </w:tc>
      </w:tr>
      <w:tr w:rsidR="00CD74D3" w:rsidRPr="008B054A" w14:paraId="4D81DDC1" w14:textId="77777777" w:rsidTr="00547286">
        <w:trPr>
          <w:trHeight w:val="255"/>
        </w:trPr>
        <w:tc>
          <w:tcPr>
            <w:tcW w:w="1074" w:type="dxa"/>
            <w:vMerge w:val="restart"/>
            <w:vAlign w:val="center"/>
          </w:tcPr>
          <w:p w14:paraId="5B567F25" w14:textId="77777777" w:rsidR="00CD74D3" w:rsidRPr="00A4252C" w:rsidRDefault="00CD74D3" w:rsidP="00CD74D3">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Totale</w:t>
            </w:r>
          </w:p>
        </w:tc>
        <w:tc>
          <w:tcPr>
            <w:tcW w:w="2678" w:type="dxa"/>
            <w:noWrap/>
            <w:vAlign w:val="center"/>
          </w:tcPr>
          <w:p w14:paraId="205899BE"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Attivazioni (b)</w:t>
            </w:r>
          </w:p>
        </w:tc>
        <w:tc>
          <w:tcPr>
            <w:tcW w:w="895" w:type="dxa"/>
            <w:shd w:val="clear" w:color="auto" w:fill="F2F2F2"/>
            <w:noWrap/>
            <w:vAlign w:val="bottom"/>
          </w:tcPr>
          <w:p w14:paraId="020EC5B3" w14:textId="3394669D"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627</w:t>
            </w:r>
          </w:p>
        </w:tc>
        <w:tc>
          <w:tcPr>
            <w:tcW w:w="738" w:type="dxa"/>
            <w:noWrap/>
            <w:vAlign w:val="bottom"/>
          </w:tcPr>
          <w:p w14:paraId="0BC315EF" w14:textId="3A273F0B"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568</w:t>
            </w:r>
          </w:p>
        </w:tc>
        <w:tc>
          <w:tcPr>
            <w:tcW w:w="807" w:type="dxa"/>
            <w:shd w:val="clear" w:color="auto" w:fill="F2F2F2"/>
            <w:noWrap/>
            <w:vAlign w:val="bottom"/>
          </w:tcPr>
          <w:p w14:paraId="562D2441" w14:textId="2A768E9C"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955</w:t>
            </w:r>
          </w:p>
        </w:tc>
        <w:tc>
          <w:tcPr>
            <w:tcW w:w="848" w:type="dxa"/>
            <w:noWrap/>
            <w:vAlign w:val="bottom"/>
          </w:tcPr>
          <w:p w14:paraId="1CD4A573" w14:textId="2336784A"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613</w:t>
            </w:r>
          </w:p>
        </w:tc>
        <w:tc>
          <w:tcPr>
            <w:tcW w:w="652" w:type="dxa"/>
            <w:shd w:val="clear" w:color="auto" w:fill="F2F2F2"/>
            <w:noWrap/>
            <w:vAlign w:val="bottom"/>
          </w:tcPr>
          <w:p w14:paraId="24DC0126" w14:textId="0BA7ED4B"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6</w:t>
            </w:r>
            <w:r w:rsidR="00FC11E3">
              <w:rPr>
                <w:rFonts w:ascii="Arial Narrow" w:hAnsi="Arial Narrow"/>
                <w:sz w:val="17"/>
                <w:szCs w:val="17"/>
              </w:rPr>
              <w:t>.</w:t>
            </w:r>
            <w:r w:rsidRPr="00A51547">
              <w:rPr>
                <w:rFonts w:ascii="Arial Narrow" w:hAnsi="Arial Narrow"/>
                <w:sz w:val="17"/>
                <w:szCs w:val="17"/>
              </w:rPr>
              <w:t>848</w:t>
            </w:r>
          </w:p>
        </w:tc>
        <w:tc>
          <w:tcPr>
            <w:tcW w:w="658" w:type="dxa"/>
            <w:noWrap/>
            <w:vAlign w:val="bottom"/>
          </w:tcPr>
          <w:p w14:paraId="2724D683" w14:textId="21AFE307"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4</w:t>
            </w:r>
            <w:r w:rsidR="00FC11E3">
              <w:rPr>
                <w:rFonts w:ascii="Arial Narrow" w:hAnsi="Arial Narrow"/>
                <w:sz w:val="17"/>
                <w:szCs w:val="17"/>
              </w:rPr>
              <w:t>.</w:t>
            </w:r>
            <w:r w:rsidRPr="00A51547">
              <w:rPr>
                <w:rFonts w:ascii="Arial Narrow" w:hAnsi="Arial Narrow"/>
                <w:sz w:val="17"/>
                <w:szCs w:val="17"/>
              </w:rPr>
              <w:t>454</w:t>
            </w:r>
          </w:p>
        </w:tc>
        <w:tc>
          <w:tcPr>
            <w:tcW w:w="646" w:type="dxa"/>
            <w:shd w:val="clear" w:color="auto" w:fill="F2F2F2"/>
            <w:noWrap/>
            <w:vAlign w:val="bottom"/>
          </w:tcPr>
          <w:p w14:paraId="4B4632E9" w14:textId="73101E1B"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2</w:t>
            </w:r>
            <w:r w:rsidR="00FC11E3">
              <w:rPr>
                <w:rFonts w:ascii="Arial Narrow" w:hAnsi="Arial Narrow"/>
                <w:sz w:val="17"/>
                <w:szCs w:val="17"/>
              </w:rPr>
              <w:t>.</w:t>
            </w:r>
            <w:r w:rsidRPr="00A51547">
              <w:rPr>
                <w:rFonts w:ascii="Arial Narrow" w:hAnsi="Arial Narrow"/>
                <w:sz w:val="17"/>
                <w:szCs w:val="17"/>
              </w:rPr>
              <w:t>394</w:t>
            </w:r>
          </w:p>
        </w:tc>
        <w:tc>
          <w:tcPr>
            <w:tcW w:w="649" w:type="dxa"/>
            <w:noWrap/>
            <w:vAlign w:val="bottom"/>
          </w:tcPr>
          <w:p w14:paraId="5F1BEDE2" w14:textId="400C44FF"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10</w:t>
            </w:r>
            <w:r w:rsidR="00FC11E3">
              <w:rPr>
                <w:rFonts w:ascii="Arial Narrow" w:hAnsi="Arial Narrow"/>
                <w:sz w:val="17"/>
                <w:szCs w:val="17"/>
              </w:rPr>
              <w:t>.</w:t>
            </w:r>
            <w:r w:rsidRPr="00A51547">
              <w:rPr>
                <w:rFonts w:ascii="Arial Narrow" w:hAnsi="Arial Narrow"/>
                <w:sz w:val="17"/>
                <w:szCs w:val="17"/>
              </w:rPr>
              <w:t>042</w:t>
            </w:r>
          </w:p>
        </w:tc>
      </w:tr>
      <w:tr w:rsidR="00CD74D3" w:rsidRPr="008B054A" w14:paraId="046C6AE6" w14:textId="77777777" w:rsidTr="00547286">
        <w:trPr>
          <w:trHeight w:val="255"/>
        </w:trPr>
        <w:tc>
          <w:tcPr>
            <w:tcW w:w="1074" w:type="dxa"/>
            <w:vMerge/>
            <w:vAlign w:val="center"/>
          </w:tcPr>
          <w:p w14:paraId="0A25091D"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49DB4266" w14:textId="77777777" w:rsidR="00CD74D3" w:rsidRPr="00A4252C" w:rsidRDefault="00CD74D3" w:rsidP="00CD74D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Cessazioni (c)</w:t>
            </w:r>
          </w:p>
        </w:tc>
        <w:tc>
          <w:tcPr>
            <w:tcW w:w="895" w:type="dxa"/>
            <w:shd w:val="clear" w:color="auto" w:fill="F2F2F2"/>
            <w:noWrap/>
            <w:vAlign w:val="bottom"/>
          </w:tcPr>
          <w:p w14:paraId="7B8F2AFA" w14:textId="044F71E2"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618</w:t>
            </w:r>
          </w:p>
        </w:tc>
        <w:tc>
          <w:tcPr>
            <w:tcW w:w="738" w:type="dxa"/>
            <w:noWrap/>
            <w:vAlign w:val="bottom"/>
          </w:tcPr>
          <w:p w14:paraId="3E70B68D" w14:textId="3B19EC58"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1</w:t>
            </w:r>
            <w:r w:rsidR="00FC11E3">
              <w:rPr>
                <w:rFonts w:ascii="Arial Narrow" w:hAnsi="Arial Narrow"/>
                <w:sz w:val="17"/>
                <w:szCs w:val="17"/>
              </w:rPr>
              <w:t>.</w:t>
            </w:r>
            <w:r w:rsidRPr="00A51547">
              <w:rPr>
                <w:rFonts w:ascii="Arial Narrow" w:hAnsi="Arial Narrow"/>
                <w:sz w:val="17"/>
                <w:szCs w:val="17"/>
              </w:rPr>
              <w:t>473</w:t>
            </w:r>
          </w:p>
        </w:tc>
        <w:tc>
          <w:tcPr>
            <w:tcW w:w="807" w:type="dxa"/>
            <w:shd w:val="clear" w:color="auto" w:fill="F2F2F2"/>
            <w:noWrap/>
            <w:vAlign w:val="bottom"/>
          </w:tcPr>
          <w:p w14:paraId="05181146" w14:textId="5A431D3D"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893</w:t>
            </w:r>
          </w:p>
        </w:tc>
        <w:tc>
          <w:tcPr>
            <w:tcW w:w="848" w:type="dxa"/>
            <w:noWrap/>
            <w:vAlign w:val="bottom"/>
          </w:tcPr>
          <w:p w14:paraId="075B59F0" w14:textId="45B8E713" w:rsidR="00CD74D3" w:rsidRPr="00A51547" w:rsidRDefault="00CD74D3" w:rsidP="00CD74D3">
            <w:pPr>
              <w:spacing w:before="40" w:after="20"/>
              <w:jc w:val="right"/>
              <w:rPr>
                <w:rFonts w:ascii="Arial Narrow" w:hAnsi="Arial Narrow"/>
                <w:sz w:val="17"/>
                <w:szCs w:val="17"/>
              </w:rPr>
            </w:pPr>
            <w:r w:rsidRPr="00A51547">
              <w:rPr>
                <w:rFonts w:ascii="Arial Narrow" w:hAnsi="Arial Narrow"/>
                <w:sz w:val="17"/>
                <w:szCs w:val="17"/>
              </w:rPr>
              <w:t>580</w:t>
            </w:r>
          </w:p>
        </w:tc>
        <w:tc>
          <w:tcPr>
            <w:tcW w:w="652" w:type="dxa"/>
            <w:shd w:val="clear" w:color="auto" w:fill="F2F2F2"/>
            <w:noWrap/>
            <w:vAlign w:val="bottom"/>
          </w:tcPr>
          <w:p w14:paraId="569605CE" w14:textId="77634C50"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6</w:t>
            </w:r>
            <w:r w:rsidR="00FC11E3">
              <w:rPr>
                <w:rFonts w:ascii="Arial Narrow" w:hAnsi="Arial Narrow"/>
                <w:sz w:val="17"/>
                <w:szCs w:val="17"/>
              </w:rPr>
              <w:t>.</w:t>
            </w:r>
            <w:r w:rsidRPr="00A51547">
              <w:rPr>
                <w:rFonts w:ascii="Arial Narrow" w:hAnsi="Arial Narrow"/>
                <w:sz w:val="17"/>
                <w:szCs w:val="17"/>
              </w:rPr>
              <w:t>575</w:t>
            </w:r>
          </w:p>
        </w:tc>
        <w:tc>
          <w:tcPr>
            <w:tcW w:w="658" w:type="dxa"/>
            <w:noWrap/>
            <w:vAlign w:val="bottom"/>
          </w:tcPr>
          <w:p w14:paraId="5469A3D3" w14:textId="242E2D23"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4</w:t>
            </w:r>
            <w:r w:rsidR="00FC11E3">
              <w:rPr>
                <w:rFonts w:ascii="Arial Narrow" w:hAnsi="Arial Narrow"/>
                <w:sz w:val="17"/>
                <w:szCs w:val="17"/>
              </w:rPr>
              <w:t>.</w:t>
            </w:r>
            <w:r w:rsidRPr="00A51547">
              <w:rPr>
                <w:rFonts w:ascii="Arial Narrow" w:hAnsi="Arial Narrow"/>
                <w:sz w:val="17"/>
                <w:szCs w:val="17"/>
              </w:rPr>
              <w:t>278</w:t>
            </w:r>
          </w:p>
        </w:tc>
        <w:tc>
          <w:tcPr>
            <w:tcW w:w="646" w:type="dxa"/>
            <w:shd w:val="clear" w:color="auto" w:fill="F2F2F2"/>
            <w:noWrap/>
            <w:vAlign w:val="bottom"/>
          </w:tcPr>
          <w:p w14:paraId="73BEB662" w14:textId="1430D8BE"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2</w:t>
            </w:r>
            <w:r w:rsidR="00FC11E3">
              <w:rPr>
                <w:rFonts w:ascii="Arial Narrow" w:hAnsi="Arial Narrow"/>
                <w:sz w:val="17"/>
                <w:szCs w:val="17"/>
              </w:rPr>
              <w:t>.</w:t>
            </w:r>
            <w:r w:rsidRPr="00A51547">
              <w:rPr>
                <w:rFonts w:ascii="Arial Narrow" w:hAnsi="Arial Narrow"/>
                <w:sz w:val="17"/>
                <w:szCs w:val="17"/>
              </w:rPr>
              <w:t>297</w:t>
            </w:r>
          </w:p>
        </w:tc>
        <w:tc>
          <w:tcPr>
            <w:tcW w:w="649" w:type="dxa"/>
            <w:noWrap/>
            <w:vAlign w:val="bottom"/>
          </w:tcPr>
          <w:p w14:paraId="7667BA8B" w14:textId="23F2B8BA" w:rsidR="00CD74D3" w:rsidRPr="00A51547" w:rsidRDefault="00CD74D3" w:rsidP="00FC11E3">
            <w:pPr>
              <w:spacing w:before="40" w:after="20"/>
              <w:jc w:val="right"/>
              <w:rPr>
                <w:rFonts w:ascii="Arial Narrow" w:hAnsi="Arial Narrow"/>
                <w:sz w:val="17"/>
                <w:szCs w:val="17"/>
              </w:rPr>
            </w:pPr>
            <w:r w:rsidRPr="00A51547">
              <w:rPr>
                <w:rFonts w:ascii="Arial Narrow" w:hAnsi="Arial Narrow"/>
                <w:sz w:val="17"/>
                <w:szCs w:val="17"/>
              </w:rPr>
              <w:t>9</w:t>
            </w:r>
            <w:r w:rsidR="00FC11E3">
              <w:rPr>
                <w:rFonts w:ascii="Arial Narrow" w:hAnsi="Arial Narrow"/>
                <w:sz w:val="17"/>
                <w:szCs w:val="17"/>
              </w:rPr>
              <w:t>.</w:t>
            </w:r>
            <w:r w:rsidRPr="00A51547">
              <w:rPr>
                <w:rFonts w:ascii="Arial Narrow" w:hAnsi="Arial Narrow"/>
                <w:sz w:val="17"/>
                <w:szCs w:val="17"/>
              </w:rPr>
              <w:t>666</w:t>
            </w:r>
          </w:p>
        </w:tc>
      </w:tr>
      <w:tr w:rsidR="00CD74D3" w:rsidRPr="008B054A" w14:paraId="1A7AE726" w14:textId="77777777" w:rsidTr="00547286">
        <w:trPr>
          <w:trHeight w:val="255"/>
        </w:trPr>
        <w:tc>
          <w:tcPr>
            <w:tcW w:w="1074" w:type="dxa"/>
            <w:vMerge/>
            <w:vAlign w:val="center"/>
          </w:tcPr>
          <w:p w14:paraId="4E4DAB88" w14:textId="77777777" w:rsidR="00CD74D3" w:rsidRPr="00A4252C" w:rsidRDefault="00CD74D3" w:rsidP="00CD74D3">
            <w:pPr>
              <w:spacing w:before="40" w:after="20"/>
              <w:jc w:val="left"/>
              <w:rPr>
                <w:rFonts w:ascii="Arial Narrow" w:hAnsi="Arial Narrow"/>
                <w:b/>
                <w:bCs/>
                <w:sz w:val="17"/>
                <w:szCs w:val="17"/>
                <w:lang w:eastAsia="it-IT"/>
              </w:rPr>
            </w:pPr>
          </w:p>
        </w:tc>
        <w:tc>
          <w:tcPr>
            <w:tcW w:w="2678" w:type="dxa"/>
            <w:noWrap/>
            <w:vAlign w:val="center"/>
          </w:tcPr>
          <w:p w14:paraId="14BA602B" w14:textId="77777777" w:rsidR="00CD74D3" w:rsidRPr="00A4252C" w:rsidRDefault="00CD74D3" w:rsidP="00CD74D3">
            <w:pPr>
              <w:spacing w:before="40" w:after="20"/>
              <w:rPr>
                <w:rFonts w:ascii="Arial Narrow" w:hAnsi="Arial Narrow"/>
                <w:b/>
                <w:bCs/>
                <w:color w:val="000000"/>
                <w:sz w:val="17"/>
                <w:szCs w:val="17"/>
                <w:lang w:eastAsia="it-IT"/>
              </w:rPr>
            </w:pPr>
            <w:r w:rsidRPr="00A4252C">
              <w:rPr>
                <w:rFonts w:ascii="Arial Narrow" w:hAnsi="Arial Narrow"/>
                <w:b/>
                <w:bCs/>
                <w:color w:val="000000"/>
                <w:sz w:val="17"/>
                <w:szCs w:val="17"/>
                <w:lang w:eastAsia="it-IT"/>
              </w:rPr>
              <w:t>Posizioni lavorative (d)</w:t>
            </w:r>
          </w:p>
        </w:tc>
        <w:tc>
          <w:tcPr>
            <w:tcW w:w="895" w:type="dxa"/>
            <w:shd w:val="clear" w:color="auto" w:fill="F2F2F2"/>
            <w:noWrap/>
            <w:vAlign w:val="bottom"/>
          </w:tcPr>
          <w:p w14:paraId="4D080A57" w14:textId="06262257"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9</w:t>
            </w:r>
          </w:p>
        </w:tc>
        <w:tc>
          <w:tcPr>
            <w:tcW w:w="738" w:type="dxa"/>
            <w:noWrap/>
            <w:vAlign w:val="bottom"/>
          </w:tcPr>
          <w:p w14:paraId="488198B3" w14:textId="1C630ABF"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95</w:t>
            </w:r>
          </w:p>
        </w:tc>
        <w:tc>
          <w:tcPr>
            <w:tcW w:w="807" w:type="dxa"/>
            <w:shd w:val="clear" w:color="auto" w:fill="F2F2F2"/>
            <w:noWrap/>
            <w:vAlign w:val="bottom"/>
          </w:tcPr>
          <w:p w14:paraId="2ECBF6DA" w14:textId="7B2DEE79"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62</w:t>
            </w:r>
          </w:p>
        </w:tc>
        <w:tc>
          <w:tcPr>
            <w:tcW w:w="848" w:type="dxa"/>
            <w:noWrap/>
            <w:vAlign w:val="bottom"/>
          </w:tcPr>
          <w:p w14:paraId="61C9CB48" w14:textId="42C77629"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33</w:t>
            </w:r>
          </w:p>
        </w:tc>
        <w:tc>
          <w:tcPr>
            <w:tcW w:w="652" w:type="dxa"/>
            <w:shd w:val="clear" w:color="auto" w:fill="F2F2F2"/>
            <w:noWrap/>
            <w:vAlign w:val="bottom"/>
          </w:tcPr>
          <w:p w14:paraId="15886AF1" w14:textId="7E268256"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272</w:t>
            </w:r>
          </w:p>
        </w:tc>
        <w:tc>
          <w:tcPr>
            <w:tcW w:w="658" w:type="dxa"/>
            <w:noWrap/>
            <w:vAlign w:val="bottom"/>
          </w:tcPr>
          <w:p w14:paraId="2D7B549A" w14:textId="416DC72E"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176</w:t>
            </w:r>
          </w:p>
        </w:tc>
        <w:tc>
          <w:tcPr>
            <w:tcW w:w="646" w:type="dxa"/>
            <w:shd w:val="clear" w:color="auto" w:fill="F2F2F2"/>
            <w:noWrap/>
            <w:vAlign w:val="bottom"/>
          </w:tcPr>
          <w:p w14:paraId="6F69627F" w14:textId="454A84A0"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96</w:t>
            </w:r>
          </w:p>
        </w:tc>
        <w:tc>
          <w:tcPr>
            <w:tcW w:w="649" w:type="dxa"/>
            <w:noWrap/>
            <w:vAlign w:val="bottom"/>
          </w:tcPr>
          <w:p w14:paraId="38F49813" w14:textId="55C04191" w:rsidR="00CD74D3" w:rsidRPr="00A51547" w:rsidRDefault="00CD74D3" w:rsidP="00CD74D3">
            <w:pPr>
              <w:spacing w:before="40" w:after="20"/>
              <w:jc w:val="right"/>
              <w:rPr>
                <w:rFonts w:ascii="Arial Narrow" w:hAnsi="Arial Narrow"/>
                <w:b/>
                <w:sz w:val="17"/>
                <w:szCs w:val="17"/>
              </w:rPr>
            </w:pPr>
            <w:r w:rsidRPr="00A51547">
              <w:rPr>
                <w:rFonts w:ascii="Arial Narrow" w:hAnsi="Arial Narrow"/>
                <w:b/>
                <w:bCs/>
                <w:sz w:val="17"/>
                <w:szCs w:val="17"/>
              </w:rPr>
              <w:t>376</w:t>
            </w:r>
          </w:p>
        </w:tc>
      </w:tr>
      <w:tr w:rsidR="004176C3" w:rsidRPr="00A4252C" w14:paraId="0C33474E" w14:textId="77777777" w:rsidTr="0037315C">
        <w:trPr>
          <w:trHeight w:val="255"/>
        </w:trPr>
        <w:tc>
          <w:tcPr>
            <w:tcW w:w="9645" w:type="dxa"/>
            <w:gridSpan w:val="10"/>
            <w:noWrap/>
            <w:vAlign w:val="center"/>
          </w:tcPr>
          <w:p w14:paraId="780252E6" w14:textId="77777777" w:rsidR="004176C3" w:rsidRPr="00A4252C" w:rsidRDefault="004176C3" w:rsidP="00926DBE">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DATI DESTAGIONALIZZATI</w:t>
            </w:r>
          </w:p>
        </w:tc>
      </w:tr>
      <w:tr w:rsidR="001F2943" w:rsidRPr="00A4252C" w14:paraId="3CA8279C" w14:textId="77777777" w:rsidTr="00547286">
        <w:trPr>
          <w:trHeight w:val="255"/>
        </w:trPr>
        <w:tc>
          <w:tcPr>
            <w:tcW w:w="1074" w:type="dxa"/>
            <w:vMerge w:val="restart"/>
            <w:vAlign w:val="center"/>
          </w:tcPr>
          <w:p w14:paraId="264337A8" w14:textId="77777777" w:rsidR="001F2943" w:rsidRPr="00A4252C" w:rsidRDefault="001F2943" w:rsidP="001F2943">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Tempo indeterminato</w:t>
            </w:r>
            <w:r w:rsidRPr="00A4252C">
              <w:rPr>
                <w:rFonts w:ascii="Arial Narrow" w:hAnsi="Arial Narrow"/>
                <w:sz w:val="17"/>
                <w:szCs w:val="17"/>
                <w:lang w:eastAsia="it-IT"/>
              </w:rPr>
              <w:t xml:space="preserve"> (incluso apprendistato)</w:t>
            </w:r>
          </w:p>
        </w:tc>
        <w:tc>
          <w:tcPr>
            <w:tcW w:w="2678" w:type="dxa"/>
            <w:noWrap/>
            <w:vAlign w:val="center"/>
          </w:tcPr>
          <w:p w14:paraId="7BBAE3F8"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Attivazioni (b)</w:t>
            </w:r>
          </w:p>
        </w:tc>
        <w:tc>
          <w:tcPr>
            <w:tcW w:w="895" w:type="dxa"/>
            <w:shd w:val="clear" w:color="auto" w:fill="F2F2F2"/>
            <w:noWrap/>
            <w:vAlign w:val="bottom"/>
          </w:tcPr>
          <w:p w14:paraId="4BC8AD49" w14:textId="39F4F503"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w:t>
            </w:r>
          </w:p>
        </w:tc>
        <w:tc>
          <w:tcPr>
            <w:tcW w:w="738" w:type="dxa"/>
            <w:noWrap/>
            <w:vAlign w:val="center"/>
          </w:tcPr>
          <w:p w14:paraId="6CAC9DA9" w14:textId="0A5219DD"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165</w:t>
            </w:r>
          </w:p>
        </w:tc>
        <w:tc>
          <w:tcPr>
            <w:tcW w:w="807" w:type="dxa"/>
            <w:shd w:val="clear" w:color="auto" w:fill="F2F2F2"/>
            <w:noWrap/>
            <w:vAlign w:val="bottom"/>
          </w:tcPr>
          <w:p w14:paraId="35295BEC" w14:textId="2899B7AA"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105</w:t>
            </w:r>
          </w:p>
        </w:tc>
        <w:tc>
          <w:tcPr>
            <w:tcW w:w="848" w:type="dxa"/>
            <w:vAlign w:val="center"/>
          </w:tcPr>
          <w:p w14:paraId="0EB84C92" w14:textId="0C78A8EA"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60</w:t>
            </w:r>
          </w:p>
        </w:tc>
        <w:tc>
          <w:tcPr>
            <w:tcW w:w="652" w:type="dxa"/>
            <w:shd w:val="clear" w:color="auto" w:fill="F2F2F2"/>
            <w:vAlign w:val="center"/>
          </w:tcPr>
          <w:p w14:paraId="4F5E3CBA" w14:textId="4B272DC4"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391</w:t>
            </w:r>
          </w:p>
        </w:tc>
        <w:tc>
          <w:tcPr>
            <w:tcW w:w="658" w:type="dxa"/>
            <w:vAlign w:val="center"/>
          </w:tcPr>
          <w:p w14:paraId="6D4C948B" w14:textId="4234DADF"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245</w:t>
            </w:r>
          </w:p>
        </w:tc>
        <w:tc>
          <w:tcPr>
            <w:tcW w:w="646" w:type="dxa"/>
            <w:shd w:val="clear" w:color="auto" w:fill="F2F2F2"/>
            <w:vAlign w:val="center"/>
          </w:tcPr>
          <w:p w14:paraId="2DEB84B2" w14:textId="7E26AAA4"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146</w:t>
            </w:r>
          </w:p>
        </w:tc>
        <w:tc>
          <w:tcPr>
            <w:tcW w:w="649" w:type="dxa"/>
            <w:vAlign w:val="center"/>
          </w:tcPr>
          <w:p w14:paraId="3F4E5F3B" w14:textId="7A0AB0BB"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560</w:t>
            </w:r>
          </w:p>
        </w:tc>
      </w:tr>
      <w:tr w:rsidR="001F2943" w:rsidRPr="00A4252C" w14:paraId="2E1A950E" w14:textId="77777777" w:rsidTr="00547286">
        <w:trPr>
          <w:trHeight w:val="255"/>
        </w:trPr>
        <w:tc>
          <w:tcPr>
            <w:tcW w:w="1074" w:type="dxa"/>
            <w:vMerge/>
            <w:vAlign w:val="center"/>
          </w:tcPr>
          <w:p w14:paraId="1A0468F6"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363B5E50"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Trasformazioni a tempo indeterminato</w:t>
            </w:r>
          </w:p>
        </w:tc>
        <w:tc>
          <w:tcPr>
            <w:tcW w:w="895" w:type="dxa"/>
            <w:shd w:val="clear" w:color="auto" w:fill="F2F2F2"/>
            <w:noWrap/>
            <w:vAlign w:val="center"/>
          </w:tcPr>
          <w:p w14:paraId="1E9DFEB4" w14:textId="161D4F4B"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w:t>
            </w:r>
          </w:p>
        </w:tc>
        <w:tc>
          <w:tcPr>
            <w:tcW w:w="738" w:type="dxa"/>
            <w:noWrap/>
            <w:vAlign w:val="center"/>
          </w:tcPr>
          <w:p w14:paraId="2E40F87D" w14:textId="761230DD"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71</w:t>
            </w:r>
          </w:p>
        </w:tc>
        <w:tc>
          <w:tcPr>
            <w:tcW w:w="807" w:type="dxa"/>
            <w:shd w:val="clear" w:color="auto" w:fill="F2F2F2"/>
            <w:noWrap/>
            <w:vAlign w:val="bottom"/>
          </w:tcPr>
          <w:p w14:paraId="0D8996A0" w14:textId="40E49302"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52</w:t>
            </w:r>
          </w:p>
        </w:tc>
        <w:tc>
          <w:tcPr>
            <w:tcW w:w="848" w:type="dxa"/>
            <w:noWrap/>
            <w:vAlign w:val="bottom"/>
          </w:tcPr>
          <w:p w14:paraId="726428FA" w14:textId="43102AE9"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19</w:t>
            </w:r>
          </w:p>
        </w:tc>
        <w:tc>
          <w:tcPr>
            <w:tcW w:w="652" w:type="dxa"/>
            <w:shd w:val="clear" w:color="auto" w:fill="F2F2F2"/>
            <w:noWrap/>
            <w:vAlign w:val="center"/>
          </w:tcPr>
          <w:p w14:paraId="0784E926" w14:textId="7D02CEB6"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151</w:t>
            </w:r>
          </w:p>
        </w:tc>
        <w:tc>
          <w:tcPr>
            <w:tcW w:w="658" w:type="dxa"/>
            <w:noWrap/>
            <w:vAlign w:val="center"/>
          </w:tcPr>
          <w:p w14:paraId="10F100B1" w14:textId="5BFE4344"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123</w:t>
            </w:r>
          </w:p>
        </w:tc>
        <w:tc>
          <w:tcPr>
            <w:tcW w:w="646" w:type="dxa"/>
            <w:shd w:val="clear" w:color="auto" w:fill="F2F2F2"/>
            <w:noWrap/>
            <w:vAlign w:val="center"/>
          </w:tcPr>
          <w:p w14:paraId="08B44E63" w14:textId="4D945D7A"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28</w:t>
            </w:r>
          </w:p>
        </w:tc>
        <w:tc>
          <w:tcPr>
            <w:tcW w:w="649" w:type="dxa"/>
            <w:noWrap/>
            <w:vAlign w:val="center"/>
          </w:tcPr>
          <w:p w14:paraId="082FD567" w14:textId="6B15843C"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223</w:t>
            </w:r>
          </w:p>
        </w:tc>
      </w:tr>
      <w:tr w:rsidR="001F2943" w:rsidRPr="00A4252C" w14:paraId="7E489019" w14:textId="77777777" w:rsidTr="00547286">
        <w:trPr>
          <w:trHeight w:val="255"/>
        </w:trPr>
        <w:tc>
          <w:tcPr>
            <w:tcW w:w="1074" w:type="dxa"/>
            <w:vMerge/>
            <w:vAlign w:val="center"/>
          </w:tcPr>
          <w:p w14:paraId="4CD4FC3F"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21DDE5A3"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Cessazioni (c)</w:t>
            </w:r>
          </w:p>
        </w:tc>
        <w:tc>
          <w:tcPr>
            <w:tcW w:w="895" w:type="dxa"/>
            <w:shd w:val="clear" w:color="auto" w:fill="F2F2F2"/>
            <w:noWrap/>
            <w:vAlign w:val="center"/>
          </w:tcPr>
          <w:p w14:paraId="58BF7581" w14:textId="25C0D6A6"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w:t>
            </w:r>
          </w:p>
        </w:tc>
        <w:tc>
          <w:tcPr>
            <w:tcW w:w="738" w:type="dxa"/>
            <w:noWrap/>
            <w:vAlign w:val="center"/>
          </w:tcPr>
          <w:p w14:paraId="440BC728" w14:textId="3AFD3551"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167</w:t>
            </w:r>
          </w:p>
        </w:tc>
        <w:tc>
          <w:tcPr>
            <w:tcW w:w="807" w:type="dxa"/>
            <w:shd w:val="clear" w:color="auto" w:fill="F2F2F2"/>
            <w:noWrap/>
            <w:vAlign w:val="bottom"/>
          </w:tcPr>
          <w:p w14:paraId="12E41596" w14:textId="732759B4"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107</w:t>
            </w:r>
          </w:p>
        </w:tc>
        <w:tc>
          <w:tcPr>
            <w:tcW w:w="848" w:type="dxa"/>
            <w:noWrap/>
            <w:vAlign w:val="center"/>
          </w:tcPr>
          <w:p w14:paraId="531CDCFB" w14:textId="41AC97D5"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60</w:t>
            </w:r>
          </w:p>
        </w:tc>
        <w:tc>
          <w:tcPr>
            <w:tcW w:w="652" w:type="dxa"/>
            <w:shd w:val="clear" w:color="auto" w:fill="F2F2F2"/>
            <w:noWrap/>
            <w:vAlign w:val="center"/>
          </w:tcPr>
          <w:p w14:paraId="15565996" w14:textId="453DEE63"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405</w:t>
            </w:r>
          </w:p>
        </w:tc>
        <w:tc>
          <w:tcPr>
            <w:tcW w:w="658" w:type="dxa"/>
            <w:noWrap/>
            <w:vAlign w:val="center"/>
          </w:tcPr>
          <w:p w14:paraId="2CB77F26" w14:textId="368798A8"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260</w:t>
            </w:r>
          </w:p>
        </w:tc>
        <w:tc>
          <w:tcPr>
            <w:tcW w:w="646" w:type="dxa"/>
            <w:shd w:val="clear" w:color="auto" w:fill="F2F2F2"/>
            <w:noWrap/>
            <w:vAlign w:val="center"/>
          </w:tcPr>
          <w:p w14:paraId="16959C5D" w14:textId="71D2B432"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146</w:t>
            </w:r>
          </w:p>
        </w:tc>
        <w:tc>
          <w:tcPr>
            <w:tcW w:w="649" w:type="dxa"/>
            <w:noWrap/>
            <w:vAlign w:val="center"/>
          </w:tcPr>
          <w:p w14:paraId="049C612C" w14:textId="3554C4BE"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576</w:t>
            </w:r>
          </w:p>
        </w:tc>
      </w:tr>
      <w:tr w:rsidR="001F2943" w:rsidRPr="00A4252C" w14:paraId="7FE3D4C3" w14:textId="77777777" w:rsidTr="00547286">
        <w:trPr>
          <w:trHeight w:val="255"/>
        </w:trPr>
        <w:tc>
          <w:tcPr>
            <w:tcW w:w="1074" w:type="dxa"/>
            <w:vMerge/>
            <w:vAlign w:val="center"/>
          </w:tcPr>
          <w:p w14:paraId="40CD1B59"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179F005F" w14:textId="77777777" w:rsidR="001F2943" w:rsidRPr="00A4252C" w:rsidRDefault="001F2943" w:rsidP="001F2943">
            <w:pPr>
              <w:spacing w:before="40" w:after="20"/>
              <w:rPr>
                <w:rFonts w:ascii="Arial Narrow" w:hAnsi="Arial Narrow"/>
                <w:b/>
                <w:bCs/>
                <w:color w:val="000000"/>
                <w:sz w:val="17"/>
                <w:szCs w:val="17"/>
                <w:lang w:eastAsia="it-IT"/>
              </w:rPr>
            </w:pPr>
            <w:r w:rsidRPr="00A4252C">
              <w:rPr>
                <w:rFonts w:ascii="Arial Narrow" w:hAnsi="Arial Narrow"/>
                <w:b/>
                <w:sz w:val="17"/>
                <w:szCs w:val="17"/>
              </w:rPr>
              <w:t>Posizioni lavorative (d)</w:t>
            </w:r>
          </w:p>
        </w:tc>
        <w:tc>
          <w:tcPr>
            <w:tcW w:w="895" w:type="dxa"/>
            <w:shd w:val="clear" w:color="auto" w:fill="F2F2F2"/>
            <w:noWrap/>
            <w:vAlign w:val="bottom"/>
          </w:tcPr>
          <w:p w14:paraId="49DE0A96" w14:textId="48EF9CDE"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w:t>
            </w:r>
          </w:p>
        </w:tc>
        <w:tc>
          <w:tcPr>
            <w:tcW w:w="738" w:type="dxa"/>
            <w:noWrap/>
            <w:vAlign w:val="center"/>
          </w:tcPr>
          <w:p w14:paraId="664900AB" w14:textId="5FB0A574"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69</w:t>
            </w:r>
          </w:p>
        </w:tc>
        <w:tc>
          <w:tcPr>
            <w:tcW w:w="807" w:type="dxa"/>
            <w:shd w:val="clear" w:color="auto" w:fill="F2F2F2"/>
            <w:noWrap/>
            <w:vAlign w:val="bottom"/>
          </w:tcPr>
          <w:p w14:paraId="19AB9AB5" w14:textId="1BBCA4F7"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50</w:t>
            </w:r>
          </w:p>
        </w:tc>
        <w:tc>
          <w:tcPr>
            <w:tcW w:w="848" w:type="dxa"/>
            <w:noWrap/>
            <w:vAlign w:val="center"/>
          </w:tcPr>
          <w:p w14:paraId="675ACB86" w14:textId="4872FFEA"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19</w:t>
            </w:r>
          </w:p>
        </w:tc>
        <w:tc>
          <w:tcPr>
            <w:tcW w:w="652" w:type="dxa"/>
            <w:shd w:val="clear" w:color="auto" w:fill="F2F2F2"/>
            <w:noWrap/>
            <w:vAlign w:val="center"/>
          </w:tcPr>
          <w:p w14:paraId="213EAF3F" w14:textId="205A80F7"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137</w:t>
            </w:r>
          </w:p>
        </w:tc>
        <w:tc>
          <w:tcPr>
            <w:tcW w:w="658" w:type="dxa"/>
            <w:noWrap/>
            <w:vAlign w:val="center"/>
          </w:tcPr>
          <w:p w14:paraId="7CD5B603" w14:textId="17B11D57"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108</w:t>
            </w:r>
          </w:p>
        </w:tc>
        <w:tc>
          <w:tcPr>
            <w:tcW w:w="646" w:type="dxa"/>
            <w:shd w:val="clear" w:color="auto" w:fill="F2F2F2"/>
            <w:noWrap/>
            <w:vAlign w:val="center"/>
          </w:tcPr>
          <w:p w14:paraId="2DB47EC9" w14:textId="4477AABC"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29</w:t>
            </w:r>
          </w:p>
        </w:tc>
        <w:tc>
          <w:tcPr>
            <w:tcW w:w="649" w:type="dxa"/>
            <w:noWrap/>
            <w:vAlign w:val="center"/>
          </w:tcPr>
          <w:p w14:paraId="0070BBDE" w14:textId="7D73E4F4"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207</w:t>
            </w:r>
          </w:p>
        </w:tc>
      </w:tr>
      <w:tr w:rsidR="001F2943" w:rsidRPr="00A4252C" w14:paraId="71695601" w14:textId="77777777" w:rsidTr="00547286">
        <w:trPr>
          <w:trHeight w:val="255"/>
        </w:trPr>
        <w:tc>
          <w:tcPr>
            <w:tcW w:w="1074" w:type="dxa"/>
            <w:vMerge w:val="restart"/>
            <w:vAlign w:val="center"/>
          </w:tcPr>
          <w:p w14:paraId="4F944D50" w14:textId="77777777" w:rsidR="001F2943" w:rsidRPr="00A4252C" w:rsidRDefault="001F2943" w:rsidP="001F2943">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Tempo determinato</w:t>
            </w:r>
          </w:p>
          <w:p w14:paraId="626647FB" w14:textId="0766DB5F" w:rsidR="001F2943" w:rsidRPr="00A4252C" w:rsidRDefault="001F2943" w:rsidP="001F2943">
            <w:pPr>
              <w:spacing w:before="40" w:after="20"/>
              <w:jc w:val="center"/>
              <w:rPr>
                <w:rFonts w:ascii="Arial Narrow" w:hAnsi="Arial Narrow"/>
                <w:b/>
                <w:bCs/>
                <w:sz w:val="17"/>
                <w:szCs w:val="17"/>
                <w:lang w:eastAsia="it-IT"/>
              </w:rPr>
            </w:pPr>
            <w:r w:rsidRPr="00A4252C">
              <w:rPr>
                <w:rFonts w:ascii="Arial Narrow" w:hAnsi="Arial Narrow"/>
                <w:bCs/>
                <w:sz w:val="17"/>
                <w:szCs w:val="17"/>
                <w:lang w:eastAsia="it-IT"/>
              </w:rPr>
              <w:t>(incluso stagionale)</w:t>
            </w:r>
          </w:p>
        </w:tc>
        <w:tc>
          <w:tcPr>
            <w:tcW w:w="2678" w:type="dxa"/>
            <w:noWrap/>
            <w:vAlign w:val="center"/>
          </w:tcPr>
          <w:p w14:paraId="08E45967"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Attivazioni (b)</w:t>
            </w:r>
          </w:p>
        </w:tc>
        <w:tc>
          <w:tcPr>
            <w:tcW w:w="895" w:type="dxa"/>
            <w:shd w:val="clear" w:color="auto" w:fill="F2F2F2"/>
            <w:noWrap/>
            <w:vAlign w:val="bottom"/>
          </w:tcPr>
          <w:p w14:paraId="3B468981" w14:textId="047B91CD"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410</w:t>
            </w:r>
          </w:p>
        </w:tc>
        <w:tc>
          <w:tcPr>
            <w:tcW w:w="738" w:type="dxa"/>
            <w:noWrap/>
            <w:vAlign w:val="center"/>
          </w:tcPr>
          <w:p w14:paraId="1C15DF79" w14:textId="59DC9498"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243</w:t>
            </w:r>
          </w:p>
        </w:tc>
        <w:tc>
          <w:tcPr>
            <w:tcW w:w="807" w:type="dxa"/>
            <w:shd w:val="clear" w:color="auto" w:fill="F2F2F2"/>
            <w:noWrap/>
            <w:vAlign w:val="bottom"/>
          </w:tcPr>
          <w:p w14:paraId="0E2AF4FC" w14:textId="175FFF56"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142</w:t>
            </w:r>
          </w:p>
        </w:tc>
        <w:tc>
          <w:tcPr>
            <w:tcW w:w="848" w:type="dxa"/>
            <w:vAlign w:val="center"/>
          </w:tcPr>
          <w:p w14:paraId="21051ABA" w14:textId="3AE4134F"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101</w:t>
            </w:r>
          </w:p>
        </w:tc>
        <w:tc>
          <w:tcPr>
            <w:tcW w:w="652" w:type="dxa"/>
            <w:shd w:val="clear" w:color="auto" w:fill="F2F2F2"/>
            <w:vAlign w:val="center"/>
          </w:tcPr>
          <w:p w14:paraId="5BDF075E" w14:textId="2F30B8FE"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367</w:t>
            </w:r>
          </w:p>
        </w:tc>
        <w:tc>
          <w:tcPr>
            <w:tcW w:w="658" w:type="dxa"/>
            <w:vAlign w:val="center"/>
          </w:tcPr>
          <w:p w14:paraId="162A8B06" w14:textId="3D880FDC"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897</w:t>
            </w:r>
          </w:p>
        </w:tc>
        <w:tc>
          <w:tcPr>
            <w:tcW w:w="646" w:type="dxa"/>
            <w:shd w:val="clear" w:color="auto" w:fill="F2F2F2"/>
            <w:vAlign w:val="center"/>
          </w:tcPr>
          <w:p w14:paraId="792431E7" w14:textId="39041DCF"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470</w:t>
            </w:r>
          </w:p>
        </w:tc>
        <w:tc>
          <w:tcPr>
            <w:tcW w:w="649" w:type="dxa"/>
            <w:vAlign w:val="center"/>
          </w:tcPr>
          <w:p w14:paraId="7C9B6B1E" w14:textId="2C25AF56"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2</w:t>
            </w:r>
            <w:r w:rsidR="000A4BF2">
              <w:rPr>
                <w:rFonts w:ascii="Arial Narrow" w:hAnsi="Arial Narrow"/>
                <w:sz w:val="17"/>
                <w:szCs w:val="17"/>
              </w:rPr>
              <w:t>.</w:t>
            </w:r>
            <w:r>
              <w:rPr>
                <w:rFonts w:ascii="Arial Narrow" w:hAnsi="Arial Narrow"/>
                <w:sz w:val="17"/>
                <w:szCs w:val="17"/>
              </w:rPr>
              <w:t>020</w:t>
            </w:r>
          </w:p>
        </w:tc>
      </w:tr>
      <w:tr w:rsidR="001F2943" w:rsidRPr="00A4252C" w14:paraId="162B36B5" w14:textId="77777777" w:rsidTr="00547286">
        <w:trPr>
          <w:trHeight w:val="255"/>
        </w:trPr>
        <w:tc>
          <w:tcPr>
            <w:tcW w:w="1074" w:type="dxa"/>
            <w:vMerge/>
            <w:vAlign w:val="center"/>
          </w:tcPr>
          <w:p w14:paraId="71156B28"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5DBCD50A"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Trasformazioni a tempo indeterminato</w:t>
            </w:r>
          </w:p>
        </w:tc>
        <w:tc>
          <w:tcPr>
            <w:tcW w:w="895" w:type="dxa"/>
            <w:shd w:val="clear" w:color="auto" w:fill="F2F2F2"/>
            <w:noWrap/>
            <w:vAlign w:val="center"/>
          </w:tcPr>
          <w:p w14:paraId="3045D60C" w14:textId="2B3051FE"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w:t>
            </w:r>
          </w:p>
        </w:tc>
        <w:tc>
          <w:tcPr>
            <w:tcW w:w="738" w:type="dxa"/>
            <w:noWrap/>
            <w:vAlign w:val="center"/>
          </w:tcPr>
          <w:p w14:paraId="0231560B" w14:textId="0B37712E"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-71</w:t>
            </w:r>
          </w:p>
        </w:tc>
        <w:tc>
          <w:tcPr>
            <w:tcW w:w="807" w:type="dxa"/>
            <w:shd w:val="clear" w:color="auto" w:fill="F2F2F2"/>
            <w:noWrap/>
            <w:vAlign w:val="bottom"/>
          </w:tcPr>
          <w:p w14:paraId="39BE82A4" w14:textId="68ADD1F7"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-52</w:t>
            </w:r>
          </w:p>
        </w:tc>
        <w:tc>
          <w:tcPr>
            <w:tcW w:w="848" w:type="dxa"/>
            <w:noWrap/>
            <w:vAlign w:val="center"/>
          </w:tcPr>
          <w:p w14:paraId="5CA6B295" w14:textId="5971AB11"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-19</w:t>
            </w:r>
          </w:p>
        </w:tc>
        <w:tc>
          <w:tcPr>
            <w:tcW w:w="652" w:type="dxa"/>
            <w:shd w:val="clear" w:color="auto" w:fill="F2F2F2"/>
            <w:noWrap/>
            <w:vAlign w:val="center"/>
          </w:tcPr>
          <w:p w14:paraId="021DE948" w14:textId="759221BD"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-151</w:t>
            </w:r>
          </w:p>
        </w:tc>
        <w:tc>
          <w:tcPr>
            <w:tcW w:w="658" w:type="dxa"/>
            <w:noWrap/>
            <w:vAlign w:val="center"/>
          </w:tcPr>
          <w:p w14:paraId="508B18E4" w14:textId="6CE89DDB"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-123</w:t>
            </w:r>
          </w:p>
        </w:tc>
        <w:tc>
          <w:tcPr>
            <w:tcW w:w="646" w:type="dxa"/>
            <w:shd w:val="clear" w:color="auto" w:fill="F2F2F2"/>
            <w:noWrap/>
            <w:vAlign w:val="center"/>
          </w:tcPr>
          <w:p w14:paraId="0346C358" w14:textId="28A67BFF"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-28</w:t>
            </w:r>
          </w:p>
        </w:tc>
        <w:tc>
          <w:tcPr>
            <w:tcW w:w="649" w:type="dxa"/>
            <w:noWrap/>
            <w:vAlign w:val="center"/>
          </w:tcPr>
          <w:p w14:paraId="4CC0A949" w14:textId="2915E28E"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-223</w:t>
            </w:r>
          </w:p>
        </w:tc>
      </w:tr>
      <w:tr w:rsidR="001F2943" w:rsidRPr="00A4252C" w14:paraId="25B3CA8D" w14:textId="77777777" w:rsidTr="00547286">
        <w:trPr>
          <w:trHeight w:val="255"/>
        </w:trPr>
        <w:tc>
          <w:tcPr>
            <w:tcW w:w="1074" w:type="dxa"/>
            <w:vMerge/>
            <w:vAlign w:val="center"/>
          </w:tcPr>
          <w:p w14:paraId="12DE786D"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7BBEA9B0"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Cessazioni (c)</w:t>
            </w:r>
          </w:p>
        </w:tc>
        <w:tc>
          <w:tcPr>
            <w:tcW w:w="895" w:type="dxa"/>
            <w:shd w:val="clear" w:color="auto" w:fill="F2F2F2"/>
            <w:noWrap/>
            <w:vAlign w:val="center"/>
          </w:tcPr>
          <w:p w14:paraId="5C80B8B3" w14:textId="0D2FD044"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393</w:t>
            </w:r>
          </w:p>
        </w:tc>
        <w:tc>
          <w:tcPr>
            <w:tcW w:w="738" w:type="dxa"/>
            <w:noWrap/>
            <w:vAlign w:val="center"/>
          </w:tcPr>
          <w:p w14:paraId="513A9D4B" w14:textId="32AC93F9"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200</w:t>
            </w:r>
          </w:p>
        </w:tc>
        <w:tc>
          <w:tcPr>
            <w:tcW w:w="807" w:type="dxa"/>
            <w:shd w:val="clear" w:color="auto" w:fill="F2F2F2"/>
            <w:noWrap/>
            <w:vAlign w:val="bottom"/>
          </w:tcPr>
          <w:p w14:paraId="50B12029" w14:textId="4E125C97"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117</w:t>
            </w:r>
          </w:p>
        </w:tc>
        <w:tc>
          <w:tcPr>
            <w:tcW w:w="848" w:type="dxa"/>
            <w:noWrap/>
            <w:vAlign w:val="bottom"/>
          </w:tcPr>
          <w:p w14:paraId="362B9D89" w14:textId="3AFE3B02"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83</w:t>
            </w:r>
          </w:p>
        </w:tc>
        <w:tc>
          <w:tcPr>
            <w:tcW w:w="652" w:type="dxa"/>
            <w:shd w:val="clear" w:color="auto" w:fill="F2F2F2"/>
            <w:noWrap/>
            <w:vAlign w:val="center"/>
          </w:tcPr>
          <w:p w14:paraId="4247660A" w14:textId="54E3CC8E"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274</w:t>
            </w:r>
          </w:p>
        </w:tc>
        <w:tc>
          <w:tcPr>
            <w:tcW w:w="658" w:type="dxa"/>
            <w:noWrap/>
            <w:vAlign w:val="center"/>
          </w:tcPr>
          <w:p w14:paraId="48225C3B" w14:textId="5E5D4541"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831</w:t>
            </w:r>
          </w:p>
        </w:tc>
        <w:tc>
          <w:tcPr>
            <w:tcW w:w="646" w:type="dxa"/>
            <w:shd w:val="clear" w:color="auto" w:fill="F2F2F2"/>
            <w:noWrap/>
            <w:vAlign w:val="center"/>
          </w:tcPr>
          <w:p w14:paraId="69393207" w14:textId="3F168BB4"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443</w:t>
            </w:r>
          </w:p>
        </w:tc>
        <w:tc>
          <w:tcPr>
            <w:tcW w:w="649" w:type="dxa"/>
            <w:noWrap/>
            <w:vAlign w:val="center"/>
          </w:tcPr>
          <w:p w14:paraId="52411447" w14:textId="140C4294"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867</w:t>
            </w:r>
          </w:p>
        </w:tc>
      </w:tr>
      <w:tr w:rsidR="001F2943" w:rsidRPr="00A4252C" w14:paraId="675D4285" w14:textId="77777777" w:rsidTr="00547286">
        <w:trPr>
          <w:trHeight w:val="255"/>
        </w:trPr>
        <w:tc>
          <w:tcPr>
            <w:tcW w:w="1074" w:type="dxa"/>
            <w:vMerge/>
            <w:vAlign w:val="center"/>
          </w:tcPr>
          <w:p w14:paraId="7D6E4621"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0A856810" w14:textId="77777777" w:rsidR="001F2943" w:rsidRPr="00A4252C" w:rsidRDefault="001F2943" w:rsidP="001F2943">
            <w:pPr>
              <w:spacing w:before="40" w:after="20"/>
              <w:rPr>
                <w:rFonts w:ascii="Arial Narrow" w:hAnsi="Arial Narrow"/>
                <w:b/>
                <w:bCs/>
                <w:color w:val="000000"/>
                <w:sz w:val="17"/>
                <w:szCs w:val="17"/>
                <w:lang w:eastAsia="it-IT"/>
              </w:rPr>
            </w:pPr>
            <w:r w:rsidRPr="00A4252C">
              <w:rPr>
                <w:rFonts w:ascii="Arial Narrow" w:hAnsi="Arial Narrow"/>
                <w:b/>
                <w:bCs/>
                <w:color w:val="000000"/>
                <w:sz w:val="17"/>
                <w:szCs w:val="17"/>
                <w:lang w:eastAsia="it-IT"/>
              </w:rPr>
              <w:t>Posizioni lavorative (d)</w:t>
            </w:r>
          </w:p>
        </w:tc>
        <w:tc>
          <w:tcPr>
            <w:tcW w:w="895" w:type="dxa"/>
            <w:shd w:val="clear" w:color="auto" w:fill="F2F2F2"/>
            <w:noWrap/>
            <w:vAlign w:val="bottom"/>
          </w:tcPr>
          <w:p w14:paraId="3AF5DBE5" w14:textId="7A1C5197"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16</w:t>
            </w:r>
          </w:p>
        </w:tc>
        <w:tc>
          <w:tcPr>
            <w:tcW w:w="738" w:type="dxa"/>
            <w:noWrap/>
            <w:vAlign w:val="center"/>
          </w:tcPr>
          <w:p w14:paraId="0501AEDF" w14:textId="742F1263"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-27</w:t>
            </w:r>
          </w:p>
        </w:tc>
        <w:tc>
          <w:tcPr>
            <w:tcW w:w="807" w:type="dxa"/>
            <w:shd w:val="clear" w:color="auto" w:fill="F2F2F2"/>
            <w:noWrap/>
            <w:vAlign w:val="bottom"/>
          </w:tcPr>
          <w:p w14:paraId="2C9E49D9" w14:textId="7D7B000E"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-26</w:t>
            </w:r>
          </w:p>
        </w:tc>
        <w:tc>
          <w:tcPr>
            <w:tcW w:w="848" w:type="dxa"/>
            <w:noWrap/>
            <w:vAlign w:val="center"/>
          </w:tcPr>
          <w:p w14:paraId="4F83E372" w14:textId="039A89AA"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w:t>
            </w:r>
          </w:p>
        </w:tc>
        <w:tc>
          <w:tcPr>
            <w:tcW w:w="652" w:type="dxa"/>
            <w:shd w:val="clear" w:color="auto" w:fill="F2F2F2"/>
            <w:noWrap/>
            <w:vAlign w:val="center"/>
          </w:tcPr>
          <w:p w14:paraId="11B96F8C" w14:textId="4367CD20"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-58</w:t>
            </w:r>
          </w:p>
        </w:tc>
        <w:tc>
          <w:tcPr>
            <w:tcW w:w="658" w:type="dxa"/>
            <w:noWrap/>
            <w:vAlign w:val="center"/>
          </w:tcPr>
          <w:p w14:paraId="11F90D40" w14:textId="12B037F4"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-57</w:t>
            </w:r>
          </w:p>
        </w:tc>
        <w:tc>
          <w:tcPr>
            <w:tcW w:w="646" w:type="dxa"/>
            <w:shd w:val="clear" w:color="auto" w:fill="F2F2F2"/>
            <w:noWrap/>
            <w:vAlign w:val="center"/>
          </w:tcPr>
          <w:p w14:paraId="1A7E1D5B" w14:textId="1D639B24"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w:t>
            </w:r>
          </w:p>
        </w:tc>
        <w:tc>
          <w:tcPr>
            <w:tcW w:w="649" w:type="dxa"/>
            <w:noWrap/>
            <w:vAlign w:val="center"/>
          </w:tcPr>
          <w:p w14:paraId="7338DC03" w14:textId="66BEB491"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-69</w:t>
            </w:r>
          </w:p>
        </w:tc>
      </w:tr>
      <w:tr w:rsidR="001F2943" w:rsidRPr="00A4252C" w14:paraId="37D0A4F6" w14:textId="77777777" w:rsidTr="00547286">
        <w:trPr>
          <w:trHeight w:val="255"/>
        </w:trPr>
        <w:tc>
          <w:tcPr>
            <w:tcW w:w="1074" w:type="dxa"/>
            <w:vMerge w:val="restart"/>
            <w:vAlign w:val="center"/>
          </w:tcPr>
          <w:p w14:paraId="7FCDC3A7" w14:textId="77777777" w:rsidR="001F2943" w:rsidRPr="00A4252C" w:rsidRDefault="001F2943" w:rsidP="001F2943">
            <w:pPr>
              <w:spacing w:before="40" w:after="20"/>
              <w:jc w:val="center"/>
              <w:rPr>
                <w:rFonts w:ascii="Arial Narrow" w:hAnsi="Arial Narrow"/>
                <w:b/>
                <w:bCs/>
                <w:sz w:val="17"/>
                <w:szCs w:val="17"/>
                <w:lang w:eastAsia="it-IT"/>
              </w:rPr>
            </w:pPr>
            <w:r w:rsidRPr="00A4252C">
              <w:rPr>
                <w:rFonts w:ascii="Arial Narrow" w:hAnsi="Arial Narrow"/>
                <w:b/>
                <w:bCs/>
                <w:sz w:val="17"/>
                <w:szCs w:val="17"/>
                <w:lang w:eastAsia="it-IT"/>
              </w:rPr>
              <w:t>Totale</w:t>
            </w:r>
          </w:p>
        </w:tc>
        <w:tc>
          <w:tcPr>
            <w:tcW w:w="2678" w:type="dxa"/>
            <w:noWrap/>
            <w:vAlign w:val="center"/>
          </w:tcPr>
          <w:p w14:paraId="13D7C79F"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Attivazioni (b)</w:t>
            </w:r>
          </w:p>
        </w:tc>
        <w:tc>
          <w:tcPr>
            <w:tcW w:w="895" w:type="dxa"/>
            <w:shd w:val="clear" w:color="auto" w:fill="F2F2F2"/>
            <w:noWrap/>
            <w:vAlign w:val="bottom"/>
          </w:tcPr>
          <w:p w14:paraId="5811CC3E" w14:textId="5FA8BF30"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414</w:t>
            </w:r>
          </w:p>
        </w:tc>
        <w:tc>
          <w:tcPr>
            <w:tcW w:w="738" w:type="dxa"/>
            <w:noWrap/>
            <w:vAlign w:val="bottom"/>
          </w:tcPr>
          <w:p w14:paraId="3DD54A2E" w14:textId="1D0C6542"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409</w:t>
            </w:r>
          </w:p>
        </w:tc>
        <w:tc>
          <w:tcPr>
            <w:tcW w:w="807" w:type="dxa"/>
            <w:shd w:val="clear" w:color="auto" w:fill="F2F2F2"/>
            <w:noWrap/>
            <w:vAlign w:val="bottom"/>
          </w:tcPr>
          <w:p w14:paraId="3A8B9084" w14:textId="21D1E4B9"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247</w:t>
            </w:r>
          </w:p>
        </w:tc>
        <w:tc>
          <w:tcPr>
            <w:tcW w:w="848" w:type="dxa"/>
            <w:noWrap/>
            <w:vAlign w:val="bottom"/>
          </w:tcPr>
          <w:p w14:paraId="1733EE93" w14:textId="194BBC3F"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162</w:t>
            </w:r>
          </w:p>
        </w:tc>
        <w:tc>
          <w:tcPr>
            <w:tcW w:w="652" w:type="dxa"/>
            <w:shd w:val="clear" w:color="auto" w:fill="F2F2F2"/>
            <w:noWrap/>
            <w:vAlign w:val="bottom"/>
          </w:tcPr>
          <w:p w14:paraId="3E542FFB" w14:textId="12CBAEA6"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758</w:t>
            </w:r>
          </w:p>
        </w:tc>
        <w:tc>
          <w:tcPr>
            <w:tcW w:w="658" w:type="dxa"/>
            <w:noWrap/>
            <w:vAlign w:val="bottom"/>
          </w:tcPr>
          <w:p w14:paraId="3EC17AF6" w14:textId="7522E43E"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142</w:t>
            </w:r>
          </w:p>
        </w:tc>
        <w:tc>
          <w:tcPr>
            <w:tcW w:w="646" w:type="dxa"/>
            <w:shd w:val="clear" w:color="auto" w:fill="F2F2F2"/>
            <w:noWrap/>
            <w:vAlign w:val="bottom"/>
          </w:tcPr>
          <w:p w14:paraId="1F9713D9" w14:textId="10C5D7D8"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616</w:t>
            </w:r>
          </w:p>
        </w:tc>
        <w:tc>
          <w:tcPr>
            <w:tcW w:w="649" w:type="dxa"/>
            <w:noWrap/>
            <w:vAlign w:val="bottom"/>
          </w:tcPr>
          <w:p w14:paraId="01E13591" w14:textId="015951C1"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2</w:t>
            </w:r>
            <w:r w:rsidR="000A4BF2">
              <w:rPr>
                <w:rFonts w:ascii="Arial Narrow" w:hAnsi="Arial Narrow"/>
                <w:sz w:val="17"/>
                <w:szCs w:val="17"/>
              </w:rPr>
              <w:t>.</w:t>
            </w:r>
            <w:r>
              <w:rPr>
                <w:rFonts w:ascii="Arial Narrow" w:hAnsi="Arial Narrow"/>
                <w:sz w:val="17"/>
                <w:szCs w:val="17"/>
              </w:rPr>
              <w:t>580</w:t>
            </w:r>
          </w:p>
        </w:tc>
      </w:tr>
      <w:tr w:rsidR="001F2943" w:rsidRPr="00A4252C" w14:paraId="76D1533E" w14:textId="77777777" w:rsidTr="00547286">
        <w:trPr>
          <w:trHeight w:val="255"/>
        </w:trPr>
        <w:tc>
          <w:tcPr>
            <w:tcW w:w="1074" w:type="dxa"/>
            <w:vMerge/>
            <w:vAlign w:val="center"/>
          </w:tcPr>
          <w:p w14:paraId="5A554E6E"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15AEB35F" w14:textId="77777777" w:rsidR="001F2943" w:rsidRPr="00A4252C" w:rsidRDefault="001F2943" w:rsidP="001F2943">
            <w:pPr>
              <w:spacing w:before="40" w:after="20"/>
              <w:rPr>
                <w:rFonts w:ascii="Arial Narrow" w:hAnsi="Arial Narrow"/>
                <w:color w:val="000000"/>
                <w:sz w:val="17"/>
                <w:szCs w:val="17"/>
                <w:lang w:eastAsia="it-IT"/>
              </w:rPr>
            </w:pPr>
            <w:r w:rsidRPr="00A4252C">
              <w:rPr>
                <w:rFonts w:ascii="Arial Narrow" w:hAnsi="Arial Narrow"/>
                <w:color w:val="000000"/>
                <w:sz w:val="17"/>
                <w:szCs w:val="17"/>
                <w:lang w:eastAsia="it-IT"/>
              </w:rPr>
              <w:t>Cessazioni (c)</w:t>
            </w:r>
          </w:p>
        </w:tc>
        <w:tc>
          <w:tcPr>
            <w:tcW w:w="895" w:type="dxa"/>
            <w:shd w:val="clear" w:color="auto" w:fill="F2F2F2"/>
            <w:noWrap/>
            <w:vAlign w:val="bottom"/>
          </w:tcPr>
          <w:p w14:paraId="6A23FC15" w14:textId="4D9A1272"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397</w:t>
            </w:r>
          </w:p>
        </w:tc>
        <w:tc>
          <w:tcPr>
            <w:tcW w:w="738" w:type="dxa"/>
            <w:noWrap/>
            <w:vAlign w:val="bottom"/>
          </w:tcPr>
          <w:p w14:paraId="018A90CB" w14:textId="03DA6B75"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367</w:t>
            </w:r>
          </w:p>
        </w:tc>
        <w:tc>
          <w:tcPr>
            <w:tcW w:w="807" w:type="dxa"/>
            <w:shd w:val="clear" w:color="auto" w:fill="F2F2F2"/>
            <w:noWrap/>
            <w:vAlign w:val="bottom"/>
          </w:tcPr>
          <w:p w14:paraId="3BE16316" w14:textId="108388CE"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223</w:t>
            </w:r>
          </w:p>
        </w:tc>
        <w:tc>
          <w:tcPr>
            <w:tcW w:w="848" w:type="dxa"/>
            <w:noWrap/>
            <w:vAlign w:val="bottom"/>
          </w:tcPr>
          <w:p w14:paraId="50A30455" w14:textId="7C522037"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143</w:t>
            </w:r>
          </w:p>
        </w:tc>
        <w:tc>
          <w:tcPr>
            <w:tcW w:w="652" w:type="dxa"/>
            <w:shd w:val="clear" w:color="auto" w:fill="F2F2F2"/>
            <w:noWrap/>
            <w:vAlign w:val="bottom"/>
          </w:tcPr>
          <w:p w14:paraId="18E9FECF" w14:textId="7F5B0B72"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679</w:t>
            </w:r>
          </w:p>
        </w:tc>
        <w:tc>
          <w:tcPr>
            <w:tcW w:w="658" w:type="dxa"/>
            <w:noWrap/>
            <w:vAlign w:val="bottom"/>
          </w:tcPr>
          <w:p w14:paraId="63E0FB14" w14:textId="5571D2AA"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1</w:t>
            </w:r>
            <w:r w:rsidR="000A4BF2">
              <w:rPr>
                <w:rFonts w:ascii="Arial Narrow" w:hAnsi="Arial Narrow"/>
                <w:sz w:val="17"/>
                <w:szCs w:val="17"/>
              </w:rPr>
              <w:t>.</w:t>
            </w:r>
            <w:r>
              <w:rPr>
                <w:rFonts w:ascii="Arial Narrow" w:hAnsi="Arial Narrow"/>
                <w:sz w:val="17"/>
                <w:szCs w:val="17"/>
              </w:rPr>
              <w:t>091</w:t>
            </w:r>
          </w:p>
        </w:tc>
        <w:tc>
          <w:tcPr>
            <w:tcW w:w="646" w:type="dxa"/>
            <w:shd w:val="clear" w:color="auto" w:fill="F2F2F2"/>
            <w:noWrap/>
            <w:vAlign w:val="bottom"/>
          </w:tcPr>
          <w:p w14:paraId="490D0ABA" w14:textId="5A4E414E" w:rsidR="001F2943" w:rsidRPr="00A51547" w:rsidRDefault="001F2943" w:rsidP="001F2943">
            <w:pPr>
              <w:spacing w:before="40" w:after="20"/>
              <w:jc w:val="right"/>
              <w:rPr>
                <w:rFonts w:ascii="Arial Narrow" w:hAnsi="Arial Narrow"/>
                <w:sz w:val="17"/>
                <w:szCs w:val="17"/>
                <w:highlight w:val="yellow"/>
              </w:rPr>
            </w:pPr>
            <w:r>
              <w:rPr>
                <w:rFonts w:ascii="Arial Narrow" w:hAnsi="Arial Narrow"/>
                <w:sz w:val="17"/>
                <w:szCs w:val="17"/>
              </w:rPr>
              <w:t>589</w:t>
            </w:r>
          </w:p>
        </w:tc>
        <w:tc>
          <w:tcPr>
            <w:tcW w:w="649" w:type="dxa"/>
            <w:noWrap/>
            <w:vAlign w:val="bottom"/>
          </w:tcPr>
          <w:p w14:paraId="146160F5" w14:textId="15FF8DE1" w:rsidR="001F2943" w:rsidRPr="00A51547" w:rsidRDefault="001F2943" w:rsidP="000A4BF2">
            <w:pPr>
              <w:spacing w:before="40" w:after="20"/>
              <w:jc w:val="right"/>
              <w:rPr>
                <w:rFonts w:ascii="Arial Narrow" w:hAnsi="Arial Narrow"/>
                <w:sz w:val="17"/>
                <w:szCs w:val="17"/>
                <w:highlight w:val="yellow"/>
              </w:rPr>
            </w:pPr>
            <w:r>
              <w:rPr>
                <w:rFonts w:ascii="Arial Narrow" w:hAnsi="Arial Narrow"/>
                <w:sz w:val="17"/>
                <w:szCs w:val="17"/>
              </w:rPr>
              <w:t>2</w:t>
            </w:r>
            <w:r w:rsidR="000A4BF2">
              <w:rPr>
                <w:rFonts w:ascii="Arial Narrow" w:hAnsi="Arial Narrow"/>
                <w:sz w:val="17"/>
                <w:szCs w:val="17"/>
              </w:rPr>
              <w:t>.</w:t>
            </w:r>
            <w:r>
              <w:rPr>
                <w:rFonts w:ascii="Arial Narrow" w:hAnsi="Arial Narrow"/>
                <w:sz w:val="17"/>
                <w:szCs w:val="17"/>
              </w:rPr>
              <w:t>443</w:t>
            </w:r>
          </w:p>
        </w:tc>
      </w:tr>
      <w:tr w:rsidR="001F2943" w:rsidRPr="00A4252C" w14:paraId="1A21AE25" w14:textId="77777777" w:rsidTr="00547286">
        <w:trPr>
          <w:trHeight w:val="255"/>
        </w:trPr>
        <w:tc>
          <w:tcPr>
            <w:tcW w:w="1074" w:type="dxa"/>
            <w:vMerge/>
            <w:vAlign w:val="center"/>
          </w:tcPr>
          <w:p w14:paraId="57737339" w14:textId="77777777" w:rsidR="001F2943" w:rsidRPr="00A4252C" w:rsidRDefault="001F2943" w:rsidP="001F2943">
            <w:pPr>
              <w:spacing w:before="40" w:after="20"/>
              <w:jc w:val="left"/>
              <w:rPr>
                <w:rFonts w:ascii="Arial Narrow" w:hAnsi="Arial Narrow"/>
                <w:b/>
                <w:bCs/>
                <w:sz w:val="17"/>
                <w:szCs w:val="17"/>
                <w:lang w:eastAsia="it-IT"/>
              </w:rPr>
            </w:pPr>
          </w:p>
        </w:tc>
        <w:tc>
          <w:tcPr>
            <w:tcW w:w="2678" w:type="dxa"/>
            <w:noWrap/>
            <w:vAlign w:val="center"/>
          </w:tcPr>
          <w:p w14:paraId="03183BBC" w14:textId="77777777" w:rsidR="001F2943" w:rsidRPr="00A4252C" w:rsidRDefault="001F2943" w:rsidP="001F2943">
            <w:pPr>
              <w:spacing w:before="40" w:after="20"/>
              <w:rPr>
                <w:rFonts w:ascii="Arial Narrow" w:hAnsi="Arial Narrow"/>
                <w:b/>
                <w:bCs/>
                <w:color w:val="000000"/>
                <w:sz w:val="17"/>
                <w:szCs w:val="17"/>
                <w:lang w:eastAsia="it-IT"/>
              </w:rPr>
            </w:pPr>
            <w:r w:rsidRPr="00A4252C">
              <w:rPr>
                <w:rFonts w:ascii="Arial Narrow" w:hAnsi="Arial Narrow"/>
                <w:b/>
                <w:bCs/>
                <w:color w:val="000000"/>
                <w:sz w:val="17"/>
                <w:szCs w:val="17"/>
                <w:lang w:eastAsia="it-IT"/>
              </w:rPr>
              <w:t>Posizioni lavorative (d)</w:t>
            </w:r>
          </w:p>
        </w:tc>
        <w:tc>
          <w:tcPr>
            <w:tcW w:w="895" w:type="dxa"/>
            <w:shd w:val="clear" w:color="auto" w:fill="F2F2F2"/>
            <w:noWrap/>
            <w:vAlign w:val="bottom"/>
          </w:tcPr>
          <w:p w14:paraId="53B84F99" w14:textId="7EC0A045"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17</w:t>
            </w:r>
          </w:p>
        </w:tc>
        <w:tc>
          <w:tcPr>
            <w:tcW w:w="738" w:type="dxa"/>
            <w:noWrap/>
            <w:vAlign w:val="bottom"/>
          </w:tcPr>
          <w:p w14:paraId="60D2722E" w14:textId="02FF193B"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42</w:t>
            </w:r>
          </w:p>
        </w:tc>
        <w:tc>
          <w:tcPr>
            <w:tcW w:w="807" w:type="dxa"/>
            <w:shd w:val="clear" w:color="auto" w:fill="F2F2F2"/>
            <w:noWrap/>
            <w:vAlign w:val="bottom"/>
          </w:tcPr>
          <w:p w14:paraId="04733824" w14:textId="7BAE9A46"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24</w:t>
            </w:r>
          </w:p>
        </w:tc>
        <w:tc>
          <w:tcPr>
            <w:tcW w:w="848" w:type="dxa"/>
            <w:noWrap/>
            <w:vAlign w:val="bottom"/>
          </w:tcPr>
          <w:p w14:paraId="533D5FFE" w14:textId="558F136E"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18</w:t>
            </w:r>
          </w:p>
        </w:tc>
        <w:tc>
          <w:tcPr>
            <w:tcW w:w="652" w:type="dxa"/>
            <w:shd w:val="clear" w:color="auto" w:fill="F2F2F2"/>
            <w:noWrap/>
            <w:vAlign w:val="bottom"/>
          </w:tcPr>
          <w:p w14:paraId="749885D6" w14:textId="4C49C513"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79</w:t>
            </w:r>
          </w:p>
        </w:tc>
        <w:tc>
          <w:tcPr>
            <w:tcW w:w="658" w:type="dxa"/>
            <w:noWrap/>
            <w:vAlign w:val="bottom"/>
          </w:tcPr>
          <w:p w14:paraId="1A535888" w14:textId="1A91AE1D"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51</w:t>
            </w:r>
          </w:p>
        </w:tc>
        <w:tc>
          <w:tcPr>
            <w:tcW w:w="646" w:type="dxa"/>
            <w:shd w:val="clear" w:color="auto" w:fill="F2F2F2"/>
            <w:noWrap/>
            <w:vAlign w:val="bottom"/>
          </w:tcPr>
          <w:p w14:paraId="0A782191" w14:textId="3598EAD9"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28</w:t>
            </w:r>
          </w:p>
        </w:tc>
        <w:tc>
          <w:tcPr>
            <w:tcW w:w="649" w:type="dxa"/>
            <w:noWrap/>
            <w:vAlign w:val="bottom"/>
          </w:tcPr>
          <w:p w14:paraId="3DAC6814" w14:textId="43371CE3" w:rsidR="001F2943" w:rsidRPr="00A51547" w:rsidRDefault="001F2943" w:rsidP="001F2943">
            <w:pPr>
              <w:spacing w:before="40" w:after="20"/>
              <w:jc w:val="right"/>
              <w:rPr>
                <w:rFonts w:ascii="Arial Narrow" w:hAnsi="Arial Narrow"/>
                <w:b/>
                <w:sz w:val="17"/>
                <w:szCs w:val="17"/>
                <w:highlight w:val="yellow"/>
              </w:rPr>
            </w:pPr>
            <w:r>
              <w:rPr>
                <w:rFonts w:ascii="Arial Narrow" w:hAnsi="Arial Narrow"/>
                <w:b/>
                <w:bCs/>
                <w:sz w:val="17"/>
                <w:szCs w:val="17"/>
              </w:rPr>
              <w:t>138</w:t>
            </w:r>
          </w:p>
        </w:tc>
      </w:tr>
    </w:tbl>
    <w:p w14:paraId="5E0D4C19" w14:textId="3F2D47CE" w:rsidR="0037315C" w:rsidRPr="00A4252C" w:rsidRDefault="0037315C" w:rsidP="0037315C">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(a) A seguito degli arrotondamenti alle migliaia, i totali potrebbero non coincidere con la somma dei singoli addendi</w:t>
      </w:r>
    </w:p>
    <w:p w14:paraId="2C392F8C" w14:textId="023A82DF" w:rsidR="0037315C" w:rsidRPr="00A4252C" w:rsidRDefault="0037315C" w:rsidP="0037315C">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(b) Attivazioni rilevate negli ultimi quattro trimestri (dati grezzi) e attivazioni rilevate nell’ultimo trimestre (dati destagionalizzati)</w:t>
      </w:r>
    </w:p>
    <w:p w14:paraId="28E1C921" w14:textId="56CC85F2" w:rsidR="0037315C" w:rsidRPr="00A4252C" w:rsidRDefault="0037315C" w:rsidP="0037315C">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(c) Cessazioni rilevate negli ultimi quattro trimestri (dati grezzi) e cessazioni rilevate nell’ultimo trimestre (dati destagionalizzati)</w:t>
      </w:r>
    </w:p>
    <w:p w14:paraId="0A61B957" w14:textId="77777777" w:rsidR="0037315C" w:rsidRPr="00A4252C" w:rsidRDefault="0037315C" w:rsidP="0037315C">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(d) Differenza tra le attivazioni e le cessazioni. Tale differenza equivale alla variazione tendenziale (dati grezzi) e congiunturale (dati destagionalizzati) dello stock medio trimestrale delle posizioni lavorative dipendenti</w:t>
      </w:r>
    </w:p>
    <w:p w14:paraId="78EDC476" w14:textId="562A64DB" w:rsidR="0037315C" w:rsidRPr="00A4252C" w:rsidRDefault="0037315C" w:rsidP="0037315C">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[0] Il dato è inferiore a 500</w:t>
      </w:r>
      <w:r w:rsidR="005325D5" w:rsidRPr="00A4252C">
        <w:rPr>
          <w:rFonts w:ascii="Arial Narrow" w:hAnsi="Arial Narrow" w:cs="Times New Roman"/>
          <w:b w:val="0"/>
          <w:bCs w:val="0"/>
          <w:iCs/>
          <w:color w:val="000000"/>
          <w:sz w:val="15"/>
          <w:szCs w:val="15"/>
          <w:lang w:eastAsia="it-IT"/>
        </w:rPr>
        <w:t xml:space="preserve"> unità</w:t>
      </w:r>
    </w:p>
    <w:p w14:paraId="5496DC06" w14:textId="293E1935" w:rsidR="0037315C" w:rsidRPr="00A4252C" w:rsidRDefault="0037315C"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bCs/>
          <w:i/>
          <w:iCs/>
          <w:color w:val="000000"/>
          <w:sz w:val="15"/>
          <w:szCs w:val="15"/>
          <w:lang w:eastAsia="it-IT"/>
        </w:rPr>
      </w:pPr>
      <w:r w:rsidRPr="00A4252C">
        <w:rPr>
          <w:rFonts w:ascii="Arial Narrow" w:hAnsi="Arial Narrow"/>
          <w:bCs/>
          <w:i/>
          <w:iCs/>
          <w:color w:val="000000"/>
          <w:sz w:val="15"/>
          <w:szCs w:val="15"/>
          <w:lang w:eastAsia="it-IT"/>
        </w:rPr>
        <w:t>Fonte: Ministero del lavoro e delle politiche sociali, Comunicazioni obbligatorie SISCO (rielaborate)</w:t>
      </w:r>
    </w:p>
    <w:p w14:paraId="32E08DFF" w14:textId="77777777" w:rsidR="0037315C" w:rsidRPr="00A4252C" w:rsidRDefault="0037315C"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bCs/>
          <w:i/>
          <w:iCs/>
          <w:color w:val="000000"/>
          <w:sz w:val="15"/>
          <w:szCs w:val="15"/>
          <w:lang w:eastAsia="it-IT"/>
        </w:rPr>
      </w:pPr>
    </w:p>
    <w:p w14:paraId="6BB4462D" w14:textId="77777777" w:rsidR="0037315C" w:rsidRPr="00A4252C" w:rsidRDefault="0037315C" w:rsidP="00AD701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cs="Arial"/>
          <w:kern w:val="28"/>
          <w:sz w:val="19"/>
          <w:szCs w:val="19"/>
        </w:rPr>
      </w:pPr>
    </w:p>
    <w:p w14:paraId="3BA10BB3" w14:textId="77777777" w:rsidR="00475B1D" w:rsidRPr="00A51547" w:rsidRDefault="00475B1D" w:rsidP="00475B1D">
      <w:pPr>
        <w:pStyle w:val="titoletto"/>
      </w:pPr>
      <w:r w:rsidRPr="00A51547">
        <w:t xml:space="preserve">Occupati, disoccupati e inattivi per genere ed età </w:t>
      </w:r>
    </w:p>
    <w:p w14:paraId="4078C1C4" w14:textId="46E5E852" w:rsidR="0065341A" w:rsidRPr="00A51547" w:rsidRDefault="0065341A" w:rsidP="0065341A">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cs="Arial"/>
          <w:szCs w:val="20"/>
        </w:rPr>
      </w:pPr>
      <w:r w:rsidRPr="00A51547">
        <w:rPr>
          <w:rFonts w:cs="Arial"/>
          <w:szCs w:val="20"/>
        </w:rPr>
        <w:t xml:space="preserve">Dal lato dell’offerta, che include tutte le forme di lavoro autonomo e alle dipendenze, nel </w:t>
      </w:r>
      <w:r w:rsidR="00EC56B6" w:rsidRPr="00A51547">
        <w:rPr>
          <w:rFonts w:cs="Arial"/>
          <w:szCs w:val="20"/>
        </w:rPr>
        <w:t>primo</w:t>
      </w:r>
      <w:r w:rsidR="004107D7" w:rsidRPr="00A51547">
        <w:rPr>
          <w:rFonts w:cs="Arial"/>
          <w:szCs w:val="20"/>
        </w:rPr>
        <w:t xml:space="preserve"> </w:t>
      </w:r>
      <w:r w:rsidRPr="00A51547">
        <w:rPr>
          <w:rFonts w:cs="Arial"/>
          <w:szCs w:val="20"/>
        </w:rPr>
        <w:t>trimestre 201</w:t>
      </w:r>
      <w:r w:rsidR="00EC56B6" w:rsidRPr="00A51547">
        <w:rPr>
          <w:rFonts w:cs="Arial"/>
          <w:szCs w:val="20"/>
        </w:rPr>
        <w:t>9</w:t>
      </w:r>
      <w:r w:rsidRPr="00A51547">
        <w:rPr>
          <w:rFonts w:cs="Arial"/>
          <w:szCs w:val="20"/>
        </w:rPr>
        <w:t xml:space="preserve"> l’occupazione stimata al netto degli effetti stagionali </w:t>
      </w:r>
      <w:r w:rsidR="006C102A" w:rsidRPr="00A51547">
        <w:rPr>
          <w:rFonts w:cs="Arial"/>
          <w:szCs w:val="20"/>
        </w:rPr>
        <w:t xml:space="preserve">sulla base della </w:t>
      </w:r>
      <w:r w:rsidRPr="00A51547">
        <w:rPr>
          <w:rFonts w:cs="Arial"/>
          <w:szCs w:val="20"/>
        </w:rPr>
        <w:t xml:space="preserve">Rilevazione sulle forze di lavoro dell’Istat è pari a 23 milioni </w:t>
      </w:r>
      <w:r w:rsidR="004107D7" w:rsidRPr="00A51547">
        <w:rPr>
          <w:rFonts w:cs="Arial"/>
          <w:szCs w:val="20"/>
        </w:rPr>
        <w:t>2</w:t>
      </w:r>
      <w:r w:rsidR="00EC56B6" w:rsidRPr="00A51547">
        <w:rPr>
          <w:rFonts w:cs="Arial"/>
          <w:szCs w:val="20"/>
        </w:rPr>
        <w:t>30</w:t>
      </w:r>
      <w:r w:rsidR="004107D7" w:rsidRPr="00A51547">
        <w:rPr>
          <w:rFonts w:cs="Arial"/>
          <w:szCs w:val="20"/>
        </w:rPr>
        <w:t xml:space="preserve"> </w:t>
      </w:r>
      <w:r w:rsidRPr="00A51547">
        <w:rPr>
          <w:rFonts w:cs="Arial"/>
          <w:szCs w:val="20"/>
        </w:rPr>
        <w:t>mila persone, in crescita su base annua (+</w:t>
      </w:r>
      <w:r w:rsidR="00D76CD3" w:rsidRPr="00A51547">
        <w:rPr>
          <w:rFonts w:cs="Arial"/>
          <w:szCs w:val="20"/>
        </w:rPr>
        <w:t>0</w:t>
      </w:r>
      <w:r w:rsidRPr="00A51547">
        <w:rPr>
          <w:rFonts w:cs="Arial"/>
          <w:szCs w:val="20"/>
        </w:rPr>
        <w:t>,</w:t>
      </w:r>
      <w:r w:rsidR="00B446DB" w:rsidRPr="00A51547">
        <w:rPr>
          <w:rFonts w:cs="Arial"/>
          <w:szCs w:val="20"/>
        </w:rPr>
        <w:t>6</w:t>
      </w:r>
      <w:r w:rsidRPr="00A51547">
        <w:rPr>
          <w:rFonts w:cs="Arial"/>
          <w:szCs w:val="20"/>
        </w:rPr>
        <w:t>%, +</w:t>
      </w:r>
      <w:r w:rsidR="00B446DB" w:rsidRPr="00A51547">
        <w:rPr>
          <w:rFonts w:cs="Arial"/>
          <w:szCs w:val="20"/>
        </w:rPr>
        <w:t>14</w:t>
      </w:r>
      <w:r w:rsidR="00057CC8" w:rsidRPr="00A51547">
        <w:rPr>
          <w:rFonts w:cs="Arial"/>
          <w:szCs w:val="20"/>
        </w:rPr>
        <w:t>4</w:t>
      </w:r>
      <w:r w:rsidRPr="00A51547">
        <w:rPr>
          <w:rFonts w:cs="Arial"/>
          <w:szCs w:val="20"/>
        </w:rPr>
        <w:t xml:space="preserve"> mila) </w:t>
      </w:r>
      <w:r w:rsidR="00B446DB" w:rsidRPr="00A51547">
        <w:rPr>
          <w:rFonts w:cs="Arial"/>
          <w:szCs w:val="20"/>
        </w:rPr>
        <w:t>e</w:t>
      </w:r>
      <w:r w:rsidR="00D76CD3" w:rsidRPr="00A51547">
        <w:rPr>
          <w:rFonts w:cs="Arial"/>
          <w:szCs w:val="20"/>
        </w:rPr>
        <w:t xml:space="preserve"> </w:t>
      </w:r>
      <w:r w:rsidRPr="00A51547">
        <w:rPr>
          <w:rFonts w:cs="Arial"/>
          <w:szCs w:val="20"/>
        </w:rPr>
        <w:t>rispetto al trimestre precedente (</w:t>
      </w:r>
      <w:r w:rsidR="00B446DB" w:rsidRPr="00A51547">
        <w:rPr>
          <w:rFonts w:cs="Arial"/>
          <w:szCs w:val="20"/>
        </w:rPr>
        <w:t>+</w:t>
      </w:r>
      <w:r w:rsidRPr="00A51547">
        <w:rPr>
          <w:rFonts w:cs="Arial"/>
          <w:szCs w:val="20"/>
        </w:rPr>
        <w:t>0,</w:t>
      </w:r>
      <w:r w:rsidR="00B446DB" w:rsidRPr="00A51547">
        <w:rPr>
          <w:rFonts w:cs="Arial"/>
          <w:szCs w:val="20"/>
        </w:rPr>
        <w:t>1</w:t>
      </w:r>
      <w:r w:rsidRPr="00A51547">
        <w:rPr>
          <w:rFonts w:cs="Arial"/>
          <w:szCs w:val="20"/>
        </w:rPr>
        <w:t xml:space="preserve">%, </w:t>
      </w:r>
      <w:r w:rsidR="00B446DB" w:rsidRPr="00A51547">
        <w:rPr>
          <w:rFonts w:cs="Arial"/>
          <w:szCs w:val="20"/>
        </w:rPr>
        <w:t>+25</w:t>
      </w:r>
      <w:r w:rsidR="004107D7" w:rsidRPr="00A51547">
        <w:rPr>
          <w:rFonts w:cs="Arial"/>
          <w:szCs w:val="20"/>
        </w:rPr>
        <w:t xml:space="preserve"> </w:t>
      </w:r>
      <w:r w:rsidRPr="00A51547">
        <w:rPr>
          <w:rFonts w:cs="Arial"/>
          <w:szCs w:val="20"/>
        </w:rPr>
        <w:t xml:space="preserve">mila). </w:t>
      </w:r>
      <w:r w:rsidR="000816A0" w:rsidRPr="00A51547">
        <w:rPr>
          <w:rFonts w:cs="Arial"/>
          <w:szCs w:val="20"/>
        </w:rPr>
        <w:t>L</w:t>
      </w:r>
      <w:r w:rsidR="003E5DDA" w:rsidRPr="00A51547">
        <w:rPr>
          <w:rFonts w:cs="Arial"/>
          <w:szCs w:val="20"/>
        </w:rPr>
        <w:t>a disoccupazione</w:t>
      </w:r>
      <w:r w:rsidR="00B446DB" w:rsidRPr="00A51547">
        <w:rPr>
          <w:rFonts w:cs="Arial"/>
          <w:szCs w:val="20"/>
        </w:rPr>
        <w:t xml:space="preserve"> e l’inattività si riducono in termini sia tendenziali sia congiunturali </w:t>
      </w:r>
      <w:r w:rsidRPr="00A51547">
        <w:rPr>
          <w:rFonts w:cs="Arial"/>
          <w:szCs w:val="20"/>
        </w:rPr>
        <w:t xml:space="preserve">(Tavola </w:t>
      </w:r>
      <w:r w:rsidR="003C0DC8" w:rsidRPr="00A51547">
        <w:rPr>
          <w:rFonts w:cs="Arial"/>
          <w:szCs w:val="20"/>
        </w:rPr>
        <w:t>3</w:t>
      </w:r>
      <w:r w:rsidRPr="00A51547">
        <w:rPr>
          <w:rFonts w:cs="Arial"/>
          <w:szCs w:val="20"/>
        </w:rPr>
        <w:t xml:space="preserve">). </w:t>
      </w:r>
      <w:r w:rsidR="000222E4">
        <w:rPr>
          <w:rFonts w:cs="Arial"/>
          <w:szCs w:val="20"/>
        </w:rPr>
        <w:t xml:space="preserve">Si assiste a un </w:t>
      </w:r>
      <w:r w:rsidR="008231F0" w:rsidRPr="00A51547">
        <w:rPr>
          <w:rFonts w:cs="Arial"/>
          <w:szCs w:val="20"/>
        </w:rPr>
        <w:t>aumento tendenziale (+0,</w:t>
      </w:r>
      <w:r w:rsidR="00D6398A" w:rsidRPr="00A51547">
        <w:rPr>
          <w:rFonts w:cs="Arial"/>
          <w:szCs w:val="20"/>
        </w:rPr>
        <w:t>5</w:t>
      </w:r>
      <w:r w:rsidR="003E5DDA" w:rsidRPr="00A51547">
        <w:rPr>
          <w:rFonts w:cs="Arial"/>
          <w:szCs w:val="20"/>
        </w:rPr>
        <w:t xml:space="preserve"> </w:t>
      </w:r>
      <w:r w:rsidR="008231F0" w:rsidRPr="00A51547">
        <w:rPr>
          <w:rFonts w:cs="Arial"/>
          <w:szCs w:val="20"/>
        </w:rPr>
        <w:t xml:space="preserve">punti) e </w:t>
      </w:r>
      <w:r w:rsidR="00D76CD3" w:rsidRPr="00A51547">
        <w:rPr>
          <w:rFonts w:cs="Arial"/>
          <w:szCs w:val="20"/>
        </w:rPr>
        <w:t xml:space="preserve">congiunturale </w:t>
      </w:r>
      <w:r w:rsidR="00D6398A" w:rsidRPr="00A51547">
        <w:rPr>
          <w:rFonts w:cs="Arial"/>
          <w:szCs w:val="20"/>
        </w:rPr>
        <w:t xml:space="preserve">(+0,1 punti) </w:t>
      </w:r>
      <w:r w:rsidR="008231F0" w:rsidRPr="00A51547">
        <w:rPr>
          <w:rFonts w:cs="Arial"/>
          <w:szCs w:val="20"/>
        </w:rPr>
        <w:t>del tasso di occupazione,</w:t>
      </w:r>
      <w:r w:rsidRPr="00A51547">
        <w:rPr>
          <w:rFonts w:cs="Arial"/>
          <w:szCs w:val="20"/>
        </w:rPr>
        <w:t xml:space="preserve"> </w:t>
      </w:r>
      <w:r w:rsidR="000222E4">
        <w:rPr>
          <w:rFonts w:cs="Arial"/>
          <w:szCs w:val="20"/>
        </w:rPr>
        <w:t>al</w:t>
      </w:r>
      <w:r w:rsidRPr="00A51547">
        <w:rPr>
          <w:rFonts w:cs="Arial"/>
          <w:szCs w:val="20"/>
        </w:rPr>
        <w:t xml:space="preserve"> calo </w:t>
      </w:r>
      <w:r w:rsidR="00057CC8" w:rsidRPr="00A51547">
        <w:rPr>
          <w:rFonts w:cs="Arial"/>
          <w:szCs w:val="20"/>
        </w:rPr>
        <w:t xml:space="preserve">del </w:t>
      </w:r>
      <w:r w:rsidRPr="00A51547">
        <w:rPr>
          <w:rFonts w:cs="Arial"/>
          <w:szCs w:val="20"/>
        </w:rPr>
        <w:t xml:space="preserve">tasso di disoccupazione </w:t>
      </w:r>
      <w:r w:rsidR="00057CC8" w:rsidRPr="00A51547">
        <w:rPr>
          <w:rFonts w:cs="Arial"/>
          <w:szCs w:val="20"/>
        </w:rPr>
        <w:t xml:space="preserve">in entrambi i confronti </w:t>
      </w:r>
      <w:r w:rsidRPr="00A51547">
        <w:rPr>
          <w:rFonts w:cs="Arial"/>
          <w:szCs w:val="20"/>
        </w:rPr>
        <w:t>(-</w:t>
      </w:r>
      <w:r w:rsidR="00C415E2" w:rsidRPr="00A51547">
        <w:rPr>
          <w:rFonts w:cs="Arial"/>
          <w:szCs w:val="20"/>
        </w:rPr>
        <w:t>0,</w:t>
      </w:r>
      <w:r w:rsidR="00C81285" w:rsidRPr="00A51547">
        <w:rPr>
          <w:rFonts w:cs="Arial"/>
          <w:szCs w:val="20"/>
        </w:rPr>
        <w:t>5</w:t>
      </w:r>
      <w:r w:rsidRPr="00A51547">
        <w:rPr>
          <w:rFonts w:cs="Arial"/>
          <w:szCs w:val="20"/>
        </w:rPr>
        <w:t xml:space="preserve"> e </w:t>
      </w:r>
      <w:r w:rsidR="00C81285" w:rsidRPr="00A51547">
        <w:rPr>
          <w:rFonts w:cs="Arial"/>
          <w:szCs w:val="20"/>
        </w:rPr>
        <w:t>-0,2</w:t>
      </w:r>
      <w:r w:rsidRPr="00A51547">
        <w:rPr>
          <w:rFonts w:cs="Arial"/>
          <w:szCs w:val="20"/>
        </w:rPr>
        <w:t xml:space="preserve"> punti</w:t>
      </w:r>
      <w:r w:rsidR="00057CC8" w:rsidRPr="00A51547">
        <w:rPr>
          <w:rFonts w:cs="Arial"/>
          <w:szCs w:val="20"/>
        </w:rPr>
        <w:t>,</w:t>
      </w:r>
      <w:r w:rsidRPr="00A51547">
        <w:rPr>
          <w:rFonts w:cs="Arial"/>
          <w:szCs w:val="20"/>
        </w:rPr>
        <w:t xml:space="preserve"> rispettivamente)</w:t>
      </w:r>
      <w:r w:rsidR="00057CC8" w:rsidRPr="00A51547">
        <w:rPr>
          <w:rFonts w:cs="Arial"/>
          <w:szCs w:val="20"/>
        </w:rPr>
        <w:t xml:space="preserve"> e </w:t>
      </w:r>
      <w:r w:rsidR="000222E4">
        <w:rPr>
          <w:rFonts w:cs="Arial"/>
          <w:szCs w:val="20"/>
        </w:rPr>
        <w:t>a</w:t>
      </w:r>
      <w:r w:rsidR="00111341" w:rsidRPr="00A51547">
        <w:rPr>
          <w:rFonts w:cs="Arial"/>
          <w:szCs w:val="20"/>
        </w:rPr>
        <w:t>lla</w:t>
      </w:r>
      <w:r w:rsidR="008231F0" w:rsidRPr="00A51547">
        <w:rPr>
          <w:rFonts w:cs="Arial"/>
          <w:szCs w:val="20"/>
        </w:rPr>
        <w:t xml:space="preserve"> </w:t>
      </w:r>
      <w:r w:rsidR="00911DF5" w:rsidRPr="00A51547">
        <w:rPr>
          <w:rFonts w:cs="Arial"/>
          <w:szCs w:val="20"/>
        </w:rPr>
        <w:t xml:space="preserve">diminuzione </w:t>
      </w:r>
      <w:r w:rsidR="00C81285" w:rsidRPr="00A51547">
        <w:rPr>
          <w:rFonts w:cs="Arial"/>
          <w:szCs w:val="20"/>
        </w:rPr>
        <w:t xml:space="preserve">tendenziale (-0,2 punti) </w:t>
      </w:r>
      <w:r w:rsidR="00057CC8" w:rsidRPr="00A51547">
        <w:rPr>
          <w:rFonts w:cs="Arial"/>
          <w:szCs w:val="20"/>
        </w:rPr>
        <w:t xml:space="preserve">del tasso di inattività che resta invece </w:t>
      </w:r>
      <w:r w:rsidR="00C81285" w:rsidRPr="00A51547">
        <w:rPr>
          <w:rFonts w:cs="Arial"/>
          <w:szCs w:val="20"/>
        </w:rPr>
        <w:t>stabil</w:t>
      </w:r>
      <w:r w:rsidR="00057CC8" w:rsidRPr="00A51547">
        <w:rPr>
          <w:rFonts w:cs="Arial"/>
          <w:szCs w:val="20"/>
        </w:rPr>
        <w:t>e</w:t>
      </w:r>
      <w:r w:rsidR="00C81285" w:rsidRPr="00A51547">
        <w:rPr>
          <w:rFonts w:cs="Arial"/>
          <w:szCs w:val="20"/>
        </w:rPr>
        <w:t xml:space="preserve"> a tre mesi di distanza</w:t>
      </w:r>
      <w:r w:rsidRPr="00A51547">
        <w:rPr>
          <w:rFonts w:cs="Arial"/>
          <w:szCs w:val="20"/>
        </w:rPr>
        <w:t xml:space="preserve">. </w:t>
      </w:r>
    </w:p>
    <w:p w14:paraId="73AE47F4" w14:textId="531085F5" w:rsidR="0065341A" w:rsidRPr="00A51547" w:rsidRDefault="00D73D96" w:rsidP="0065341A">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cs="Arial"/>
          <w:szCs w:val="20"/>
        </w:rPr>
      </w:pPr>
      <w:r w:rsidRPr="00A51547">
        <w:rPr>
          <w:rFonts w:cs="Arial"/>
          <w:szCs w:val="20"/>
        </w:rPr>
        <w:t>Nei dati destagionalizzati</w:t>
      </w:r>
      <w:r w:rsidR="00FF2B93" w:rsidRPr="00A51547">
        <w:rPr>
          <w:rFonts w:cs="Arial"/>
          <w:szCs w:val="20"/>
        </w:rPr>
        <w:t xml:space="preserve"> </w:t>
      </w:r>
      <w:r w:rsidRPr="00A51547">
        <w:rPr>
          <w:rFonts w:cs="Arial"/>
          <w:szCs w:val="20"/>
        </w:rPr>
        <w:t>i</w:t>
      </w:r>
      <w:r w:rsidR="0065341A" w:rsidRPr="00A51547">
        <w:rPr>
          <w:rFonts w:cs="Arial"/>
          <w:szCs w:val="20"/>
        </w:rPr>
        <w:t>l tasso di occupazione 15-64 anni (58,</w:t>
      </w:r>
      <w:r w:rsidR="00023B3A" w:rsidRPr="00A51547">
        <w:rPr>
          <w:rFonts w:cs="Arial"/>
          <w:szCs w:val="20"/>
        </w:rPr>
        <w:t>7</w:t>
      </w:r>
      <w:r w:rsidR="0065341A" w:rsidRPr="00A51547">
        <w:rPr>
          <w:rFonts w:cs="Arial"/>
          <w:szCs w:val="20"/>
        </w:rPr>
        <w:t xml:space="preserve">%) </w:t>
      </w:r>
      <w:r w:rsidR="00700037" w:rsidRPr="00A51547">
        <w:rPr>
          <w:rFonts w:cs="Arial"/>
          <w:szCs w:val="20"/>
        </w:rPr>
        <w:t>rimane</w:t>
      </w:r>
      <w:r w:rsidR="0065341A" w:rsidRPr="00A51547">
        <w:rPr>
          <w:rFonts w:cs="Arial"/>
          <w:szCs w:val="20"/>
        </w:rPr>
        <w:t xml:space="preserve"> ai livelli </w:t>
      </w:r>
      <w:r w:rsidR="009B2F2B" w:rsidRPr="00A51547">
        <w:rPr>
          <w:rFonts w:cs="Arial"/>
          <w:szCs w:val="20"/>
        </w:rPr>
        <w:t>pre-</w:t>
      </w:r>
      <w:r w:rsidR="0065341A" w:rsidRPr="00A51547">
        <w:rPr>
          <w:rFonts w:cs="Arial"/>
          <w:szCs w:val="20"/>
        </w:rPr>
        <w:t>crisi</w:t>
      </w:r>
      <w:r w:rsidRPr="00A51547">
        <w:rPr>
          <w:rFonts w:cs="Arial"/>
          <w:szCs w:val="20"/>
        </w:rPr>
        <w:t>,</w:t>
      </w:r>
      <w:r w:rsidR="0065341A" w:rsidRPr="00A51547">
        <w:rPr>
          <w:rFonts w:cs="Arial"/>
          <w:szCs w:val="20"/>
        </w:rPr>
        <w:t xml:space="preserve"> </w:t>
      </w:r>
      <w:r w:rsidR="006C102A" w:rsidRPr="00A51547">
        <w:rPr>
          <w:rFonts w:cs="Arial"/>
          <w:szCs w:val="20"/>
        </w:rPr>
        <w:t>vicino al</w:t>
      </w:r>
      <w:r w:rsidR="0065341A" w:rsidRPr="00A51547">
        <w:rPr>
          <w:rFonts w:cs="Arial"/>
          <w:szCs w:val="20"/>
        </w:rPr>
        <w:t xml:space="preserve"> valore massimo del </w:t>
      </w:r>
      <w:r w:rsidR="009B2F2B" w:rsidRPr="00A51547">
        <w:rPr>
          <w:rFonts w:cs="Arial"/>
          <w:szCs w:val="20"/>
        </w:rPr>
        <w:t>secondo trimestre 2008 (</w:t>
      </w:r>
      <w:r w:rsidR="0065341A" w:rsidRPr="00A51547">
        <w:rPr>
          <w:rFonts w:cs="Arial"/>
          <w:szCs w:val="20"/>
        </w:rPr>
        <w:t>58,8%</w:t>
      </w:r>
      <w:r w:rsidR="009B2F2B" w:rsidRPr="00A51547">
        <w:rPr>
          <w:rFonts w:cs="Arial"/>
          <w:szCs w:val="20"/>
        </w:rPr>
        <w:t>)</w:t>
      </w:r>
      <w:r w:rsidRPr="00A51547">
        <w:rPr>
          <w:rFonts w:cs="Arial"/>
          <w:szCs w:val="20"/>
        </w:rPr>
        <w:t>,</w:t>
      </w:r>
      <w:r w:rsidR="00FF2B93" w:rsidRPr="00A51547">
        <w:rPr>
          <w:rFonts w:cs="Arial"/>
          <w:szCs w:val="20"/>
        </w:rPr>
        <w:t xml:space="preserve"> e</w:t>
      </w:r>
      <w:r w:rsidR="0065341A" w:rsidRPr="00A51547">
        <w:rPr>
          <w:rFonts w:cs="Arial"/>
          <w:szCs w:val="20"/>
        </w:rPr>
        <w:t xml:space="preserve"> </w:t>
      </w:r>
      <w:r w:rsidRPr="00A51547">
        <w:rPr>
          <w:rFonts w:cs="Arial"/>
          <w:szCs w:val="20"/>
        </w:rPr>
        <w:t>i</w:t>
      </w:r>
      <w:r w:rsidR="00700037" w:rsidRPr="00A51547">
        <w:rPr>
          <w:rFonts w:cs="Arial"/>
          <w:szCs w:val="20"/>
        </w:rPr>
        <w:t>l tasso di disoccupazione (10,</w:t>
      </w:r>
      <w:r w:rsidR="00023B3A" w:rsidRPr="00A51547">
        <w:rPr>
          <w:rFonts w:cs="Arial"/>
          <w:szCs w:val="20"/>
        </w:rPr>
        <w:t>4</w:t>
      </w:r>
      <w:r w:rsidR="00700037" w:rsidRPr="00A51547">
        <w:rPr>
          <w:rFonts w:cs="Arial"/>
          <w:szCs w:val="20"/>
        </w:rPr>
        <w:t xml:space="preserve">%) è il valore più basso </w:t>
      </w:r>
      <w:r w:rsidR="006C102A" w:rsidRPr="00A51547">
        <w:rPr>
          <w:rFonts w:cs="Arial"/>
          <w:szCs w:val="20"/>
        </w:rPr>
        <w:t xml:space="preserve">dal </w:t>
      </w:r>
      <w:r w:rsidR="005F3C72" w:rsidRPr="00A51547">
        <w:rPr>
          <w:rFonts w:cs="Arial"/>
          <w:szCs w:val="20"/>
        </w:rPr>
        <w:t>secondo</w:t>
      </w:r>
      <w:r w:rsidR="00700037" w:rsidRPr="00A51547">
        <w:rPr>
          <w:rFonts w:cs="Arial"/>
          <w:szCs w:val="20"/>
        </w:rPr>
        <w:t xml:space="preserve"> trimestre 2012</w:t>
      </w:r>
      <w:r w:rsidR="00F64A41" w:rsidRPr="00A51547">
        <w:rPr>
          <w:rFonts w:cs="Arial"/>
          <w:szCs w:val="20"/>
        </w:rPr>
        <w:t>, a eccezione del terzo 2018</w:t>
      </w:r>
      <w:r w:rsidR="00FF2B93" w:rsidRPr="00A51547">
        <w:rPr>
          <w:rFonts w:cs="Arial"/>
          <w:szCs w:val="20"/>
        </w:rPr>
        <w:t>.</w:t>
      </w:r>
    </w:p>
    <w:p w14:paraId="000B4DFC" w14:textId="6A753539" w:rsidR="0065341A" w:rsidRPr="00A51547" w:rsidRDefault="00C329BD" w:rsidP="0065341A">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cs="Arial"/>
          <w:szCs w:val="20"/>
        </w:rPr>
      </w:pPr>
      <w:r w:rsidRPr="00A51547">
        <w:rPr>
          <w:rFonts w:cs="Arial"/>
          <w:szCs w:val="20"/>
        </w:rPr>
        <w:t xml:space="preserve">Nei dati di flusso diminuiscono le permanenze nell’occupazione, </w:t>
      </w:r>
      <w:r w:rsidR="00D46B8B" w:rsidRPr="00A51547">
        <w:rPr>
          <w:rFonts w:cs="Arial"/>
          <w:szCs w:val="20"/>
        </w:rPr>
        <w:t>soprattutto</w:t>
      </w:r>
      <w:r w:rsidRPr="00A51547">
        <w:rPr>
          <w:rFonts w:cs="Arial"/>
          <w:szCs w:val="20"/>
        </w:rPr>
        <w:t xml:space="preserve"> per i </w:t>
      </w:r>
      <w:r w:rsidR="00D46B8B" w:rsidRPr="00A51547">
        <w:rPr>
          <w:rFonts w:cs="Arial"/>
          <w:szCs w:val="20"/>
        </w:rPr>
        <w:t>55-64 anni</w:t>
      </w:r>
      <w:r w:rsidRPr="00A51547">
        <w:rPr>
          <w:rFonts w:cs="Arial"/>
          <w:szCs w:val="20"/>
        </w:rPr>
        <w:t>. Tra i dipendenti a termine, se da un lato si riduce</w:t>
      </w:r>
      <w:r w:rsidR="00D12D38" w:rsidRPr="00A51547">
        <w:rPr>
          <w:rFonts w:cs="Arial"/>
          <w:szCs w:val="20"/>
        </w:rPr>
        <w:t xml:space="preserve"> la permanenza nell’occupazione</w:t>
      </w:r>
      <w:r w:rsidRPr="00A51547">
        <w:rPr>
          <w:rFonts w:cs="Arial"/>
          <w:szCs w:val="20"/>
        </w:rPr>
        <w:t xml:space="preserve"> dall’altro aumentano le transizioni verso il lavoro dipendente a tempo indeterminato.</w:t>
      </w:r>
      <w:r w:rsidR="00806E09" w:rsidRPr="00A51547">
        <w:rPr>
          <w:rStyle w:val="Rimandonotaapidipagina"/>
          <w:szCs w:val="20"/>
        </w:rPr>
        <w:footnoteReference w:id="3"/>
      </w:r>
    </w:p>
    <w:p w14:paraId="05376837" w14:textId="77777777" w:rsidR="00BC71C9" w:rsidRPr="00A51547" w:rsidRDefault="00BC71C9" w:rsidP="00BC71C9">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ascii="Arial Narrow" w:hAnsi="Arial Narrow" w:cs="Arial"/>
          <w:b/>
          <w:color w:val="323E4F" w:themeColor="text2" w:themeShade="BF"/>
          <w:kern w:val="28"/>
          <w:sz w:val="2"/>
          <w:szCs w:val="12"/>
        </w:rPr>
      </w:pPr>
    </w:p>
    <w:p w14:paraId="39A5C7EB" w14:textId="481F5F87" w:rsidR="00BC71C9" w:rsidRPr="003F6291" w:rsidRDefault="00BC71C9" w:rsidP="00BC71C9">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rPr>
          <w:rFonts w:ascii="Arial Narrow" w:hAnsi="Arial Narrow" w:cs="Arial"/>
          <w:kern w:val="28"/>
          <w:sz w:val="19"/>
          <w:szCs w:val="19"/>
        </w:rPr>
      </w:pPr>
      <w:r w:rsidRPr="00A51547">
        <w:rPr>
          <w:rFonts w:ascii="Arial Narrow" w:hAnsi="Arial Narrow" w:cs="Arial"/>
          <w:b/>
          <w:color w:val="323E4F" w:themeColor="text2" w:themeShade="BF"/>
          <w:kern w:val="28"/>
        </w:rPr>
        <w:t xml:space="preserve">TAVOLA </w:t>
      </w:r>
      <w:r w:rsidR="009C449B" w:rsidRPr="00A51547">
        <w:rPr>
          <w:rFonts w:ascii="Arial Narrow" w:hAnsi="Arial Narrow" w:cs="Arial"/>
          <w:b/>
          <w:color w:val="323E4F" w:themeColor="text2" w:themeShade="BF"/>
          <w:kern w:val="28"/>
        </w:rPr>
        <w:t>3</w:t>
      </w:r>
      <w:r w:rsidRPr="00A51547">
        <w:rPr>
          <w:rFonts w:ascii="Arial Narrow" w:hAnsi="Arial Narrow" w:cs="Arial"/>
          <w:b/>
          <w:color w:val="323E4F" w:themeColor="text2" w:themeShade="BF"/>
          <w:kern w:val="28"/>
        </w:rPr>
        <w:t>. PRINCIPALI INDICATORI DELL’OFFERTA DI LAVORO PER GENERE E CLASSE DI ETÀ.</w:t>
      </w:r>
      <w:r w:rsidRPr="00A51547">
        <w:rPr>
          <w:rFonts w:ascii="Arial Narrow" w:hAnsi="Arial Narrow" w:cs="Arial Narrow"/>
          <w:b/>
          <w:bCs/>
          <w:color w:val="808080"/>
          <w:szCs w:val="20"/>
        </w:rPr>
        <w:t xml:space="preserve"> </w:t>
      </w:r>
      <w:r w:rsidRPr="00A51547">
        <w:rPr>
          <w:rFonts w:ascii="Arial Narrow" w:hAnsi="Arial Narrow" w:cs="Arial"/>
          <w:kern w:val="28"/>
          <w:sz w:val="19"/>
          <w:szCs w:val="19"/>
        </w:rPr>
        <w:t>I trimestre 201</w:t>
      </w:r>
      <w:r w:rsidR="00EC56B6" w:rsidRPr="00A51547">
        <w:rPr>
          <w:rFonts w:ascii="Arial Narrow" w:hAnsi="Arial Narrow" w:cs="Arial"/>
          <w:kern w:val="28"/>
          <w:sz w:val="19"/>
          <w:szCs w:val="19"/>
        </w:rPr>
        <w:t>9</w:t>
      </w:r>
    </w:p>
    <w:tbl>
      <w:tblPr>
        <w:tblW w:w="9659" w:type="dxa"/>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69"/>
        <w:gridCol w:w="193"/>
        <w:gridCol w:w="1154"/>
        <w:gridCol w:w="768"/>
        <w:gridCol w:w="799"/>
        <w:gridCol w:w="193"/>
        <w:gridCol w:w="709"/>
        <w:gridCol w:w="725"/>
        <w:gridCol w:w="193"/>
        <w:gridCol w:w="650"/>
        <w:gridCol w:w="1119"/>
        <w:gridCol w:w="193"/>
        <w:gridCol w:w="1094"/>
      </w:tblGrid>
      <w:tr w:rsidR="00BC71C9" w:rsidRPr="003F6291" w14:paraId="1ED48503" w14:textId="77777777" w:rsidTr="00CE3490">
        <w:trPr>
          <w:trHeight w:val="360"/>
        </w:trPr>
        <w:tc>
          <w:tcPr>
            <w:tcW w:w="1869" w:type="dxa"/>
            <w:vMerge w:val="restart"/>
            <w:shd w:val="clear" w:color="auto" w:fill="auto"/>
            <w:noWrap/>
            <w:vAlign w:val="center"/>
            <w:hideMark/>
          </w:tcPr>
          <w:p w14:paraId="27F35638" w14:textId="77777777" w:rsidR="00BC71C9" w:rsidRPr="003F6291" w:rsidRDefault="00BC71C9" w:rsidP="00D34956">
            <w:pPr>
              <w:spacing w:after="0"/>
              <w:rPr>
                <w:rFonts w:ascii="Arial Narrow" w:hAnsi="Arial Narrow"/>
                <w:b/>
                <w:bCs/>
                <w:sz w:val="18"/>
                <w:szCs w:val="18"/>
                <w:lang w:eastAsia="it-IT"/>
              </w:rPr>
            </w:pPr>
            <w:r w:rsidRPr="003F6291">
              <w:rPr>
                <w:rFonts w:ascii="Arial Narrow" w:hAnsi="Arial Narrow"/>
                <w:b/>
                <w:bCs/>
                <w:sz w:val="18"/>
                <w:szCs w:val="18"/>
                <w:lang w:eastAsia="it-IT"/>
              </w:rPr>
              <w:t> </w:t>
            </w:r>
          </w:p>
        </w:tc>
        <w:tc>
          <w:tcPr>
            <w:tcW w:w="193" w:type="dxa"/>
            <w:tcBorders>
              <w:bottom w:val="nil"/>
            </w:tcBorders>
            <w:shd w:val="clear" w:color="auto" w:fill="auto"/>
            <w:noWrap/>
            <w:vAlign w:val="center"/>
            <w:hideMark/>
          </w:tcPr>
          <w:p w14:paraId="3D3F5FA3" w14:textId="77777777" w:rsidR="00BC71C9" w:rsidRPr="003F6291" w:rsidRDefault="00BC71C9" w:rsidP="00D34956">
            <w:pPr>
              <w:spacing w:after="0"/>
              <w:rPr>
                <w:rFonts w:ascii="Arial Narrow" w:hAnsi="Arial Narrow"/>
                <w:b/>
                <w:bCs/>
                <w:sz w:val="18"/>
                <w:szCs w:val="18"/>
                <w:lang w:eastAsia="it-IT"/>
              </w:rPr>
            </w:pPr>
            <w:r w:rsidRPr="003F6291">
              <w:rPr>
                <w:rFonts w:ascii="Arial Narrow" w:hAnsi="Arial Narrow"/>
                <w:b/>
                <w:bCs/>
                <w:sz w:val="18"/>
                <w:szCs w:val="18"/>
                <w:lang w:eastAsia="it-IT"/>
              </w:rPr>
              <w:t> </w:t>
            </w:r>
          </w:p>
        </w:tc>
        <w:tc>
          <w:tcPr>
            <w:tcW w:w="2721" w:type="dxa"/>
            <w:gridSpan w:val="3"/>
            <w:shd w:val="clear" w:color="auto" w:fill="F2F2F2" w:themeFill="background1" w:themeFillShade="F2"/>
            <w:noWrap/>
            <w:vAlign w:val="center"/>
            <w:hideMark/>
          </w:tcPr>
          <w:p w14:paraId="4344BA05" w14:textId="77777777" w:rsidR="00BC71C9" w:rsidRPr="003F6291" w:rsidRDefault="00BC71C9" w:rsidP="00D34956">
            <w:pPr>
              <w:spacing w:after="0"/>
              <w:jc w:val="center"/>
              <w:rPr>
                <w:rFonts w:ascii="Arial Narrow" w:hAnsi="Arial Narrow"/>
                <w:b/>
                <w:bCs/>
                <w:caps/>
                <w:sz w:val="18"/>
                <w:szCs w:val="18"/>
                <w:lang w:eastAsia="it-IT"/>
              </w:rPr>
            </w:pPr>
            <w:r w:rsidRPr="003F6291">
              <w:rPr>
                <w:rFonts w:ascii="Arial Narrow" w:hAnsi="Arial Narrow"/>
                <w:b/>
                <w:bCs/>
                <w:caps/>
                <w:sz w:val="18"/>
                <w:szCs w:val="18"/>
                <w:lang w:eastAsia="it-IT"/>
              </w:rPr>
              <w:t>Dati destagionalizzati</w:t>
            </w:r>
          </w:p>
        </w:tc>
        <w:tc>
          <w:tcPr>
            <w:tcW w:w="193" w:type="dxa"/>
            <w:shd w:val="clear" w:color="auto" w:fill="auto"/>
            <w:noWrap/>
            <w:vAlign w:val="center"/>
            <w:hideMark/>
          </w:tcPr>
          <w:p w14:paraId="3EA1286F" w14:textId="77777777" w:rsidR="00BC71C9" w:rsidRPr="003F6291" w:rsidRDefault="00BC71C9" w:rsidP="00D34956">
            <w:pPr>
              <w:spacing w:after="0"/>
              <w:rPr>
                <w:rFonts w:ascii="Arial Narrow" w:hAnsi="Arial Narrow"/>
                <w:b/>
                <w:bCs/>
                <w:caps/>
                <w:sz w:val="18"/>
                <w:szCs w:val="18"/>
                <w:lang w:eastAsia="it-IT"/>
              </w:rPr>
            </w:pPr>
            <w:r w:rsidRPr="003F6291">
              <w:rPr>
                <w:rFonts w:ascii="Arial Narrow" w:hAnsi="Arial Narrow"/>
                <w:b/>
                <w:bCs/>
                <w:caps/>
                <w:sz w:val="18"/>
                <w:szCs w:val="18"/>
                <w:lang w:eastAsia="it-IT"/>
              </w:rPr>
              <w:t> </w:t>
            </w:r>
          </w:p>
        </w:tc>
        <w:tc>
          <w:tcPr>
            <w:tcW w:w="1434" w:type="dxa"/>
            <w:gridSpan w:val="2"/>
            <w:shd w:val="clear" w:color="auto" w:fill="auto"/>
            <w:vAlign w:val="center"/>
            <w:hideMark/>
          </w:tcPr>
          <w:p w14:paraId="47990344" w14:textId="77777777" w:rsidR="00BC71C9" w:rsidRPr="003F6291" w:rsidRDefault="00BC71C9" w:rsidP="00D34956">
            <w:pPr>
              <w:spacing w:after="0"/>
              <w:jc w:val="center"/>
              <w:rPr>
                <w:rFonts w:ascii="Arial Narrow" w:hAnsi="Arial Narrow"/>
                <w:b/>
                <w:bCs/>
                <w:caps/>
                <w:sz w:val="18"/>
                <w:szCs w:val="18"/>
                <w:lang w:eastAsia="it-IT"/>
              </w:rPr>
            </w:pPr>
            <w:r w:rsidRPr="003F6291">
              <w:rPr>
                <w:rFonts w:ascii="Arial Narrow" w:hAnsi="Arial Narrow"/>
                <w:b/>
                <w:bCs/>
                <w:caps/>
                <w:sz w:val="18"/>
                <w:szCs w:val="18"/>
                <w:lang w:eastAsia="it-IT"/>
              </w:rPr>
              <w:t>Dati grezzi</w:t>
            </w:r>
          </w:p>
        </w:tc>
        <w:tc>
          <w:tcPr>
            <w:tcW w:w="193" w:type="dxa"/>
            <w:shd w:val="clear" w:color="auto" w:fill="auto"/>
            <w:noWrap/>
            <w:vAlign w:val="center"/>
            <w:hideMark/>
          </w:tcPr>
          <w:p w14:paraId="541F127B" w14:textId="77777777" w:rsidR="00BC71C9" w:rsidRPr="003F6291" w:rsidRDefault="00BC71C9" w:rsidP="00D34956">
            <w:pPr>
              <w:spacing w:after="0"/>
              <w:rPr>
                <w:rFonts w:ascii="Arial Narrow" w:hAnsi="Arial Narrow"/>
                <w:caps/>
                <w:sz w:val="18"/>
                <w:szCs w:val="18"/>
                <w:lang w:eastAsia="it-IT"/>
              </w:rPr>
            </w:pPr>
            <w:r w:rsidRPr="003F6291">
              <w:rPr>
                <w:rFonts w:ascii="Arial Narrow" w:hAnsi="Arial Narrow"/>
                <w:caps/>
                <w:sz w:val="18"/>
                <w:szCs w:val="18"/>
                <w:lang w:eastAsia="it-IT"/>
              </w:rPr>
              <w:t> </w:t>
            </w:r>
          </w:p>
        </w:tc>
        <w:tc>
          <w:tcPr>
            <w:tcW w:w="1769" w:type="dxa"/>
            <w:gridSpan w:val="2"/>
            <w:shd w:val="clear" w:color="auto" w:fill="auto"/>
            <w:vAlign w:val="center"/>
            <w:hideMark/>
          </w:tcPr>
          <w:p w14:paraId="4714DD2A" w14:textId="77777777" w:rsidR="00BC71C9" w:rsidRPr="003F6291" w:rsidRDefault="00BC71C9" w:rsidP="00D34956">
            <w:pPr>
              <w:spacing w:after="0"/>
              <w:jc w:val="center"/>
              <w:rPr>
                <w:rFonts w:ascii="Arial Narrow" w:hAnsi="Arial Narrow"/>
                <w:b/>
                <w:bCs/>
                <w:caps/>
                <w:sz w:val="18"/>
                <w:szCs w:val="18"/>
                <w:lang w:eastAsia="it-IT"/>
              </w:rPr>
            </w:pPr>
            <w:r w:rsidRPr="003F6291">
              <w:rPr>
                <w:rFonts w:ascii="Arial Narrow" w:hAnsi="Arial Narrow"/>
                <w:b/>
                <w:bCs/>
                <w:caps/>
                <w:sz w:val="18"/>
                <w:szCs w:val="18"/>
                <w:lang w:eastAsia="it-IT"/>
              </w:rPr>
              <w:t>Dati destagionalizzati</w:t>
            </w:r>
          </w:p>
        </w:tc>
        <w:tc>
          <w:tcPr>
            <w:tcW w:w="193" w:type="dxa"/>
            <w:tcBorders>
              <w:bottom w:val="nil"/>
            </w:tcBorders>
            <w:shd w:val="clear" w:color="auto" w:fill="auto"/>
            <w:noWrap/>
            <w:vAlign w:val="center"/>
            <w:hideMark/>
          </w:tcPr>
          <w:p w14:paraId="06755DFE" w14:textId="77777777" w:rsidR="00BC71C9" w:rsidRPr="003F6291" w:rsidRDefault="00BC71C9" w:rsidP="00D34956">
            <w:pPr>
              <w:spacing w:after="0"/>
              <w:rPr>
                <w:rFonts w:ascii="Arial Narrow" w:hAnsi="Arial Narrow"/>
                <w:caps/>
                <w:sz w:val="18"/>
                <w:szCs w:val="18"/>
                <w:lang w:eastAsia="it-IT"/>
              </w:rPr>
            </w:pPr>
            <w:r w:rsidRPr="003F6291">
              <w:rPr>
                <w:rFonts w:ascii="Arial Narrow" w:hAnsi="Arial Narrow"/>
                <w:caps/>
                <w:sz w:val="18"/>
                <w:szCs w:val="18"/>
                <w:lang w:eastAsia="it-IT"/>
              </w:rPr>
              <w:t> </w:t>
            </w:r>
          </w:p>
        </w:tc>
        <w:tc>
          <w:tcPr>
            <w:tcW w:w="1094" w:type="dxa"/>
            <w:shd w:val="clear" w:color="auto" w:fill="auto"/>
            <w:vAlign w:val="center"/>
            <w:hideMark/>
          </w:tcPr>
          <w:p w14:paraId="5FA3828F" w14:textId="77777777" w:rsidR="00BC71C9" w:rsidRPr="003F6291" w:rsidRDefault="00BC71C9" w:rsidP="00D34956">
            <w:pPr>
              <w:spacing w:after="0"/>
              <w:rPr>
                <w:rFonts w:ascii="Arial Narrow" w:hAnsi="Arial Narrow"/>
                <w:b/>
                <w:bCs/>
                <w:caps/>
                <w:sz w:val="18"/>
                <w:szCs w:val="18"/>
                <w:lang w:eastAsia="it-IT"/>
              </w:rPr>
            </w:pPr>
            <w:r w:rsidRPr="003F6291">
              <w:rPr>
                <w:rFonts w:ascii="Arial Narrow" w:hAnsi="Arial Narrow"/>
                <w:b/>
                <w:bCs/>
                <w:caps/>
                <w:sz w:val="18"/>
                <w:szCs w:val="18"/>
                <w:lang w:eastAsia="it-IT"/>
              </w:rPr>
              <w:t>Dati grezzi</w:t>
            </w:r>
          </w:p>
        </w:tc>
      </w:tr>
      <w:tr w:rsidR="00BC71C9" w:rsidRPr="003F6291" w14:paraId="648C418B" w14:textId="77777777" w:rsidTr="00CE3490">
        <w:trPr>
          <w:trHeight w:val="285"/>
        </w:trPr>
        <w:tc>
          <w:tcPr>
            <w:tcW w:w="1869" w:type="dxa"/>
            <w:vMerge/>
            <w:vAlign w:val="center"/>
            <w:hideMark/>
          </w:tcPr>
          <w:p w14:paraId="59FF8E7E" w14:textId="77777777" w:rsidR="00BC71C9" w:rsidRPr="003F6291" w:rsidRDefault="00BC71C9" w:rsidP="00D34956">
            <w:pPr>
              <w:spacing w:after="0"/>
              <w:rPr>
                <w:rFonts w:ascii="Arial Narrow" w:hAnsi="Arial Narrow"/>
                <w:b/>
                <w:bCs/>
                <w:sz w:val="18"/>
                <w:szCs w:val="18"/>
                <w:lang w:eastAsia="it-IT"/>
              </w:rPr>
            </w:pPr>
          </w:p>
        </w:tc>
        <w:tc>
          <w:tcPr>
            <w:tcW w:w="193" w:type="dxa"/>
            <w:tcBorders>
              <w:top w:val="nil"/>
              <w:bottom w:val="nil"/>
            </w:tcBorders>
            <w:shd w:val="clear" w:color="auto" w:fill="auto"/>
            <w:noWrap/>
            <w:vAlign w:val="center"/>
            <w:hideMark/>
          </w:tcPr>
          <w:p w14:paraId="3C0A5FC6" w14:textId="77777777" w:rsidR="00BC71C9" w:rsidRPr="003F6291" w:rsidRDefault="00BC71C9" w:rsidP="00D34956">
            <w:pPr>
              <w:spacing w:after="0"/>
              <w:rPr>
                <w:rFonts w:ascii="Arial Narrow" w:hAnsi="Arial Narrow"/>
                <w:b/>
                <w:bCs/>
                <w:sz w:val="18"/>
                <w:szCs w:val="18"/>
                <w:lang w:eastAsia="it-IT"/>
              </w:rPr>
            </w:pPr>
          </w:p>
        </w:tc>
        <w:tc>
          <w:tcPr>
            <w:tcW w:w="1154" w:type="dxa"/>
            <w:shd w:val="clear" w:color="auto" w:fill="auto"/>
            <w:noWrap/>
            <w:vAlign w:val="center"/>
            <w:hideMark/>
          </w:tcPr>
          <w:p w14:paraId="75090D43" w14:textId="77777777" w:rsidR="00BC71C9" w:rsidRPr="00AC2E33" w:rsidRDefault="00BC71C9" w:rsidP="00D34956">
            <w:pPr>
              <w:spacing w:after="0"/>
              <w:jc w:val="center"/>
              <w:rPr>
                <w:rFonts w:ascii="Arial Narrow" w:hAnsi="Arial Narrow"/>
                <w:b/>
                <w:sz w:val="18"/>
                <w:szCs w:val="18"/>
                <w:lang w:eastAsia="it-IT"/>
              </w:rPr>
            </w:pPr>
            <w:r w:rsidRPr="00AC2E33">
              <w:rPr>
                <w:rFonts w:ascii="Arial Narrow" w:hAnsi="Arial Narrow"/>
                <w:b/>
                <w:sz w:val="18"/>
                <w:szCs w:val="18"/>
                <w:lang w:eastAsia="it-IT"/>
              </w:rPr>
              <w:t>Valori in migliaia</w:t>
            </w:r>
          </w:p>
        </w:tc>
        <w:tc>
          <w:tcPr>
            <w:tcW w:w="1567" w:type="dxa"/>
            <w:gridSpan w:val="2"/>
            <w:shd w:val="clear" w:color="auto" w:fill="F2F2F2" w:themeFill="background1" w:themeFillShade="F2"/>
            <w:noWrap/>
            <w:vAlign w:val="center"/>
            <w:hideMark/>
          </w:tcPr>
          <w:p w14:paraId="774EB77A" w14:textId="77777777" w:rsidR="00BC71C9" w:rsidRPr="00AC2E33" w:rsidRDefault="00BC71C9" w:rsidP="00D34956">
            <w:pPr>
              <w:spacing w:after="0"/>
              <w:jc w:val="center"/>
              <w:rPr>
                <w:rFonts w:ascii="Arial Narrow" w:hAnsi="Arial Narrow"/>
                <w:b/>
                <w:sz w:val="18"/>
                <w:szCs w:val="18"/>
                <w:lang w:eastAsia="it-IT"/>
              </w:rPr>
            </w:pPr>
            <w:r w:rsidRPr="00AC2E33">
              <w:rPr>
                <w:rFonts w:ascii="Arial Narrow" w:hAnsi="Arial Narrow"/>
                <w:b/>
                <w:sz w:val="18"/>
                <w:szCs w:val="18"/>
                <w:lang w:eastAsia="it-IT"/>
              </w:rPr>
              <w:t>Variazioni congiunturali</w:t>
            </w:r>
          </w:p>
        </w:tc>
        <w:tc>
          <w:tcPr>
            <w:tcW w:w="193" w:type="dxa"/>
            <w:shd w:val="clear" w:color="auto" w:fill="auto"/>
            <w:noWrap/>
            <w:vAlign w:val="center"/>
            <w:hideMark/>
          </w:tcPr>
          <w:p w14:paraId="21E1B1FE" w14:textId="77777777" w:rsidR="00BC71C9" w:rsidRPr="00AC2E33" w:rsidRDefault="00BC71C9" w:rsidP="00D34956">
            <w:pPr>
              <w:spacing w:after="0"/>
              <w:jc w:val="center"/>
              <w:rPr>
                <w:rFonts w:ascii="Arial Narrow" w:hAnsi="Arial Narrow"/>
                <w:b/>
                <w:sz w:val="18"/>
                <w:szCs w:val="18"/>
                <w:lang w:eastAsia="it-IT"/>
              </w:rPr>
            </w:pPr>
          </w:p>
        </w:tc>
        <w:tc>
          <w:tcPr>
            <w:tcW w:w="1434" w:type="dxa"/>
            <w:gridSpan w:val="2"/>
            <w:shd w:val="clear" w:color="auto" w:fill="auto"/>
            <w:noWrap/>
            <w:vAlign w:val="center"/>
            <w:hideMark/>
          </w:tcPr>
          <w:p w14:paraId="6A761BB0" w14:textId="77777777" w:rsidR="00BC71C9" w:rsidRPr="00AC2E33" w:rsidRDefault="00BC71C9" w:rsidP="00D34956">
            <w:pPr>
              <w:spacing w:after="0"/>
              <w:jc w:val="center"/>
              <w:rPr>
                <w:rFonts w:ascii="Arial Narrow" w:hAnsi="Arial Narrow"/>
                <w:b/>
                <w:sz w:val="18"/>
                <w:szCs w:val="18"/>
                <w:lang w:eastAsia="it-IT"/>
              </w:rPr>
            </w:pPr>
            <w:r w:rsidRPr="00AC2E33">
              <w:rPr>
                <w:rFonts w:ascii="Arial Narrow" w:hAnsi="Arial Narrow"/>
                <w:b/>
                <w:sz w:val="18"/>
                <w:szCs w:val="18"/>
                <w:lang w:eastAsia="it-IT"/>
              </w:rPr>
              <w:t>Variazioni tendenziali</w:t>
            </w:r>
          </w:p>
        </w:tc>
        <w:tc>
          <w:tcPr>
            <w:tcW w:w="193" w:type="dxa"/>
            <w:shd w:val="clear" w:color="auto" w:fill="auto"/>
            <w:noWrap/>
            <w:vAlign w:val="center"/>
            <w:hideMark/>
          </w:tcPr>
          <w:p w14:paraId="5011148A" w14:textId="77777777" w:rsidR="00BC71C9" w:rsidRPr="003F6291" w:rsidRDefault="00BC71C9" w:rsidP="00D34956">
            <w:pPr>
              <w:spacing w:after="0"/>
              <w:rPr>
                <w:rFonts w:ascii="Arial Narrow" w:hAnsi="Arial Narrow"/>
                <w:sz w:val="18"/>
                <w:szCs w:val="18"/>
                <w:lang w:eastAsia="it-IT"/>
              </w:rPr>
            </w:pPr>
          </w:p>
        </w:tc>
        <w:tc>
          <w:tcPr>
            <w:tcW w:w="650" w:type="dxa"/>
            <w:vMerge w:val="restart"/>
            <w:shd w:val="clear" w:color="auto" w:fill="D9D9D9" w:themeFill="background1" w:themeFillShade="D9"/>
            <w:noWrap/>
            <w:vAlign w:val="center"/>
            <w:hideMark/>
          </w:tcPr>
          <w:p w14:paraId="3A4DD7A9" w14:textId="77777777" w:rsidR="00BC71C9" w:rsidRPr="00AC2E33" w:rsidRDefault="00BC71C9" w:rsidP="00D34956">
            <w:pPr>
              <w:spacing w:after="0"/>
              <w:jc w:val="center"/>
              <w:rPr>
                <w:rFonts w:ascii="Arial Narrow" w:hAnsi="Arial Narrow"/>
                <w:b/>
                <w:sz w:val="18"/>
                <w:szCs w:val="18"/>
                <w:lang w:eastAsia="it-IT"/>
              </w:rPr>
            </w:pPr>
            <w:r w:rsidRPr="00AC2E33">
              <w:rPr>
                <w:rFonts w:ascii="Arial Narrow" w:hAnsi="Arial Narrow"/>
                <w:b/>
                <w:sz w:val="18"/>
                <w:szCs w:val="18"/>
                <w:lang w:eastAsia="it-IT"/>
              </w:rPr>
              <w:t>Valore %</w:t>
            </w:r>
          </w:p>
        </w:tc>
        <w:tc>
          <w:tcPr>
            <w:tcW w:w="1119" w:type="dxa"/>
            <w:vMerge w:val="restart"/>
            <w:shd w:val="clear" w:color="auto" w:fill="D9D9D9" w:themeFill="background1" w:themeFillShade="D9"/>
            <w:vAlign w:val="center"/>
            <w:hideMark/>
          </w:tcPr>
          <w:p w14:paraId="57574CF4" w14:textId="77777777" w:rsidR="00BC71C9" w:rsidRPr="00AC2E33" w:rsidRDefault="00BC71C9" w:rsidP="00D34956">
            <w:pPr>
              <w:spacing w:after="0"/>
              <w:jc w:val="center"/>
              <w:rPr>
                <w:rFonts w:ascii="Arial Narrow" w:hAnsi="Arial Narrow"/>
                <w:b/>
                <w:sz w:val="18"/>
                <w:szCs w:val="18"/>
                <w:lang w:eastAsia="it-IT"/>
              </w:rPr>
            </w:pPr>
            <w:r w:rsidRPr="00AC2E33">
              <w:rPr>
                <w:rFonts w:ascii="Arial Narrow" w:hAnsi="Arial Narrow"/>
                <w:b/>
                <w:sz w:val="18"/>
                <w:szCs w:val="18"/>
                <w:lang w:eastAsia="it-IT"/>
              </w:rPr>
              <w:t>Variazione congiunturale</w:t>
            </w:r>
          </w:p>
        </w:tc>
        <w:tc>
          <w:tcPr>
            <w:tcW w:w="193" w:type="dxa"/>
            <w:tcBorders>
              <w:top w:val="nil"/>
              <w:bottom w:val="nil"/>
            </w:tcBorders>
            <w:shd w:val="clear" w:color="auto" w:fill="D9D9D9" w:themeFill="background1" w:themeFillShade="D9"/>
            <w:noWrap/>
            <w:vAlign w:val="center"/>
            <w:hideMark/>
          </w:tcPr>
          <w:p w14:paraId="4B300F52" w14:textId="77777777" w:rsidR="00BC71C9" w:rsidRPr="00AC2E33" w:rsidRDefault="00BC71C9" w:rsidP="00D34956">
            <w:pPr>
              <w:spacing w:after="0"/>
              <w:rPr>
                <w:rFonts w:ascii="Arial Narrow" w:hAnsi="Arial Narrow"/>
                <w:b/>
                <w:sz w:val="18"/>
                <w:szCs w:val="18"/>
                <w:lang w:eastAsia="it-IT"/>
              </w:rPr>
            </w:pPr>
          </w:p>
        </w:tc>
        <w:tc>
          <w:tcPr>
            <w:tcW w:w="1094" w:type="dxa"/>
            <w:vMerge w:val="restart"/>
            <w:shd w:val="clear" w:color="auto" w:fill="D9D9D9" w:themeFill="background1" w:themeFillShade="D9"/>
            <w:vAlign w:val="center"/>
            <w:hideMark/>
          </w:tcPr>
          <w:p w14:paraId="0DC89F19" w14:textId="77777777" w:rsidR="00BC71C9" w:rsidRPr="00AC2E33" w:rsidRDefault="00BC71C9" w:rsidP="00D34956">
            <w:pPr>
              <w:spacing w:after="0"/>
              <w:jc w:val="center"/>
              <w:rPr>
                <w:rFonts w:ascii="Arial Narrow" w:hAnsi="Arial Narrow"/>
                <w:b/>
                <w:sz w:val="18"/>
                <w:szCs w:val="18"/>
                <w:lang w:eastAsia="it-IT"/>
              </w:rPr>
            </w:pPr>
            <w:r w:rsidRPr="00AC2E33">
              <w:rPr>
                <w:rFonts w:ascii="Arial Narrow" w:hAnsi="Arial Narrow"/>
                <w:b/>
                <w:sz w:val="18"/>
                <w:szCs w:val="18"/>
                <w:lang w:eastAsia="it-IT"/>
              </w:rPr>
              <w:t>Variazione tendenziale</w:t>
            </w:r>
          </w:p>
        </w:tc>
      </w:tr>
      <w:tr w:rsidR="00BC71C9" w:rsidRPr="003F6291" w14:paraId="347C1C7E" w14:textId="77777777" w:rsidTr="00E3055E">
        <w:trPr>
          <w:trHeight w:val="247"/>
        </w:trPr>
        <w:tc>
          <w:tcPr>
            <w:tcW w:w="1869" w:type="dxa"/>
            <w:vMerge/>
            <w:vAlign w:val="center"/>
            <w:hideMark/>
          </w:tcPr>
          <w:p w14:paraId="73BB6BED" w14:textId="77777777" w:rsidR="00BC71C9" w:rsidRPr="003F6291" w:rsidRDefault="00BC71C9" w:rsidP="00D34956">
            <w:pPr>
              <w:spacing w:after="0"/>
              <w:rPr>
                <w:rFonts w:ascii="Arial Narrow" w:hAnsi="Arial Narrow"/>
                <w:b/>
                <w:bCs/>
                <w:sz w:val="18"/>
                <w:szCs w:val="18"/>
                <w:lang w:eastAsia="it-IT"/>
              </w:rPr>
            </w:pPr>
          </w:p>
        </w:tc>
        <w:tc>
          <w:tcPr>
            <w:tcW w:w="193" w:type="dxa"/>
            <w:tcBorders>
              <w:top w:val="nil"/>
            </w:tcBorders>
            <w:shd w:val="clear" w:color="auto" w:fill="auto"/>
            <w:noWrap/>
            <w:vAlign w:val="center"/>
            <w:hideMark/>
          </w:tcPr>
          <w:p w14:paraId="78285BA7" w14:textId="77777777" w:rsidR="00BC71C9" w:rsidRPr="003F6291" w:rsidRDefault="00BC71C9" w:rsidP="00D34956">
            <w:pPr>
              <w:spacing w:after="0"/>
              <w:rPr>
                <w:rFonts w:ascii="Arial Narrow" w:hAnsi="Arial Narrow"/>
                <w:b/>
                <w:bCs/>
                <w:sz w:val="18"/>
                <w:szCs w:val="18"/>
                <w:lang w:eastAsia="it-IT"/>
              </w:rPr>
            </w:pPr>
            <w:r w:rsidRPr="003F6291">
              <w:rPr>
                <w:rFonts w:ascii="Arial Narrow" w:hAnsi="Arial Narrow"/>
                <w:b/>
                <w:bCs/>
                <w:sz w:val="18"/>
                <w:szCs w:val="18"/>
                <w:lang w:eastAsia="it-IT"/>
              </w:rPr>
              <w:t> </w:t>
            </w:r>
          </w:p>
        </w:tc>
        <w:tc>
          <w:tcPr>
            <w:tcW w:w="1154" w:type="dxa"/>
            <w:shd w:val="clear" w:color="auto" w:fill="auto"/>
            <w:vAlign w:val="center"/>
            <w:hideMark/>
          </w:tcPr>
          <w:p w14:paraId="3F511FE9" w14:textId="77777777" w:rsidR="00BC71C9" w:rsidRPr="003F6291" w:rsidRDefault="00BC71C9" w:rsidP="00D34956">
            <w:pPr>
              <w:spacing w:after="0"/>
              <w:rPr>
                <w:rFonts w:ascii="Arial Narrow" w:hAnsi="Arial Narrow"/>
                <w:sz w:val="18"/>
                <w:szCs w:val="18"/>
                <w:lang w:eastAsia="it-IT"/>
              </w:rPr>
            </w:pPr>
          </w:p>
        </w:tc>
        <w:tc>
          <w:tcPr>
            <w:tcW w:w="768" w:type="dxa"/>
            <w:shd w:val="clear" w:color="auto" w:fill="auto"/>
            <w:noWrap/>
            <w:vAlign w:val="center"/>
            <w:hideMark/>
          </w:tcPr>
          <w:p w14:paraId="26420C6E" w14:textId="77777777" w:rsidR="00BC71C9" w:rsidRPr="003F6291" w:rsidRDefault="00BC71C9" w:rsidP="00D34956">
            <w:pPr>
              <w:spacing w:after="0"/>
              <w:jc w:val="center"/>
              <w:rPr>
                <w:rFonts w:ascii="Arial Narrow" w:hAnsi="Arial Narrow"/>
                <w:sz w:val="18"/>
                <w:szCs w:val="18"/>
                <w:lang w:eastAsia="it-IT"/>
              </w:rPr>
            </w:pPr>
            <w:r w:rsidRPr="003F6291">
              <w:rPr>
                <w:rFonts w:ascii="Arial Narrow" w:hAnsi="Arial Narrow"/>
                <w:sz w:val="18"/>
                <w:szCs w:val="18"/>
                <w:lang w:eastAsia="it-IT"/>
              </w:rPr>
              <w:t>assolute</w:t>
            </w:r>
          </w:p>
        </w:tc>
        <w:tc>
          <w:tcPr>
            <w:tcW w:w="799" w:type="dxa"/>
            <w:shd w:val="clear" w:color="auto" w:fill="auto"/>
            <w:noWrap/>
            <w:vAlign w:val="center"/>
            <w:hideMark/>
          </w:tcPr>
          <w:p w14:paraId="4EE3A92F" w14:textId="77777777" w:rsidR="00BC71C9" w:rsidRPr="003F6291" w:rsidRDefault="00BC71C9" w:rsidP="00D34956">
            <w:pPr>
              <w:spacing w:after="0"/>
              <w:jc w:val="center"/>
              <w:rPr>
                <w:rFonts w:ascii="Arial Narrow" w:hAnsi="Arial Narrow"/>
                <w:sz w:val="18"/>
                <w:szCs w:val="18"/>
                <w:lang w:eastAsia="it-IT"/>
              </w:rPr>
            </w:pPr>
            <w:r w:rsidRPr="003F6291">
              <w:rPr>
                <w:rFonts w:ascii="Arial Narrow" w:hAnsi="Arial Narrow"/>
                <w:sz w:val="18"/>
                <w:szCs w:val="18"/>
                <w:lang w:eastAsia="it-IT"/>
              </w:rPr>
              <w:t>%</w:t>
            </w:r>
          </w:p>
        </w:tc>
        <w:tc>
          <w:tcPr>
            <w:tcW w:w="193" w:type="dxa"/>
            <w:shd w:val="clear" w:color="auto" w:fill="auto"/>
            <w:noWrap/>
            <w:vAlign w:val="center"/>
            <w:hideMark/>
          </w:tcPr>
          <w:p w14:paraId="0EDE4605" w14:textId="77777777" w:rsidR="00BC71C9" w:rsidRPr="003F6291" w:rsidRDefault="00BC71C9" w:rsidP="00D34956">
            <w:pPr>
              <w:spacing w:after="0"/>
              <w:jc w:val="center"/>
              <w:rPr>
                <w:rFonts w:ascii="Arial Narrow" w:hAnsi="Arial Narrow"/>
                <w:sz w:val="18"/>
                <w:szCs w:val="18"/>
                <w:lang w:eastAsia="it-IT"/>
              </w:rPr>
            </w:pPr>
            <w:r w:rsidRPr="003F6291">
              <w:rPr>
                <w:rFonts w:ascii="Arial Narrow" w:hAnsi="Arial Narrow"/>
                <w:sz w:val="18"/>
                <w:szCs w:val="18"/>
                <w:lang w:eastAsia="it-IT"/>
              </w:rPr>
              <w:t> </w:t>
            </w:r>
          </w:p>
        </w:tc>
        <w:tc>
          <w:tcPr>
            <w:tcW w:w="709" w:type="dxa"/>
            <w:shd w:val="clear" w:color="auto" w:fill="auto"/>
            <w:noWrap/>
            <w:vAlign w:val="center"/>
            <w:hideMark/>
          </w:tcPr>
          <w:p w14:paraId="0030EE69" w14:textId="77777777" w:rsidR="00BC71C9" w:rsidRPr="003F6291" w:rsidRDefault="00BC71C9" w:rsidP="00D34956">
            <w:pPr>
              <w:spacing w:after="0"/>
              <w:jc w:val="center"/>
              <w:rPr>
                <w:rFonts w:ascii="Arial Narrow" w:hAnsi="Arial Narrow"/>
                <w:sz w:val="18"/>
                <w:szCs w:val="18"/>
                <w:lang w:eastAsia="it-IT"/>
              </w:rPr>
            </w:pPr>
            <w:r w:rsidRPr="003F6291">
              <w:rPr>
                <w:rFonts w:ascii="Arial Narrow" w:hAnsi="Arial Narrow"/>
                <w:sz w:val="18"/>
                <w:szCs w:val="18"/>
                <w:lang w:eastAsia="it-IT"/>
              </w:rPr>
              <w:t>assolute</w:t>
            </w:r>
          </w:p>
        </w:tc>
        <w:tc>
          <w:tcPr>
            <w:tcW w:w="725" w:type="dxa"/>
            <w:shd w:val="clear" w:color="auto" w:fill="auto"/>
            <w:noWrap/>
            <w:vAlign w:val="center"/>
            <w:hideMark/>
          </w:tcPr>
          <w:p w14:paraId="7036D549" w14:textId="77777777" w:rsidR="00BC71C9" w:rsidRPr="003F6291" w:rsidRDefault="00BC71C9" w:rsidP="00D34956">
            <w:pPr>
              <w:spacing w:after="0"/>
              <w:jc w:val="center"/>
              <w:rPr>
                <w:rFonts w:ascii="Arial Narrow" w:hAnsi="Arial Narrow"/>
                <w:sz w:val="18"/>
                <w:szCs w:val="18"/>
                <w:lang w:eastAsia="it-IT"/>
              </w:rPr>
            </w:pPr>
            <w:r w:rsidRPr="003F6291">
              <w:rPr>
                <w:rFonts w:ascii="Arial Narrow" w:hAnsi="Arial Narrow"/>
                <w:sz w:val="18"/>
                <w:szCs w:val="18"/>
                <w:lang w:eastAsia="it-IT"/>
              </w:rPr>
              <w:t>%</w:t>
            </w:r>
          </w:p>
        </w:tc>
        <w:tc>
          <w:tcPr>
            <w:tcW w:w="193" w:type="dxa"/>
            <w:shd w:val="clear" w:color="auto" w:fill="auto"/>
            <w:noWrap/>
            <w:vAlign w:val="center"/>
            <w:hideMark/>
          </w:tcPr>
          <w:p w14:paraId="02A132A2" w14:textId="77777777" w:rsidR="00BC71C9" w:rsidRPr="003F6291" w:rsidRDefault="00BC71C9" w:rsidP="00D34956">
            <w:pPr>
              <w:spacing w:after="0"/>
              <w:rPr>
                <w:rFonts w:ascii="Arial Narrow" w:hAnsi="Arial Narrow"/>
                <w:sz w:val="18"/>
                <w:szCs w:val="18"/>
                <w:lang w:eastAsia="it-IT"/>
              </w:rPr>
            </w:pPr>
            <w:r w:rsidRPr="003F6291">
              <w:rPr>
                <w:rFonts w:ascii="Arial Narrow" w:hAnsi="Arial Narrow"/>
                <w:sz w:val="18"/>
                <w:szCs w:val="18"/>
                <w:lang w:eastAsia="it-IT"/>
              </w:rPr>
              <w:t> </w:t>
            </w:r>
          </w:p>
        </w:tc>
        <w:tc>
          <w:tcPr>
            <w:tcW w:w="650" w:type="dxa"/>
            <w:vMerge/>
            <w:tcBorders>
              <w:top w:val="nil"/>
            </w:tcBorders>
            <w:vAlign w:val="center"/>
            <w:hideMark/>
          </w:tcPr>
          <w:p w14:paraId="7D201BEF" w14:textId="77777777" w:rsidR="00BC71C9" w:rsidRPr="003F6291" w:rsidRDefault="00BC71C9" w:rsidP="00D34956">
            <w:pPr>
              <w:spacing w:after="0"/>
              <w:rPr>
                <w:rFonts w:ascii="Arial Narrow" w:hAnsi="Arial Narrow"/>
                <w:sz w:val="18"/>
                <w:szCs w:val="18"/>
                <w:lang w:eastAsia="it-IT"/>
              </w:rPr>
            </w:pPr>
          </w:p>
        </w:tc>
        <w:tc>
          <w:tcPr>
            <w:tcW w:w="1119" w:type="dxa"/>
            <w:vMerge/>
            <w:tcBorders>
              <w:top w:val="nil"/>
            </w:tcBorders>
            <w:vAlign w:val="center"/>
            <w:hideMark/>
          </w:tcPr>
          <w:p w14:paraId="53DC8AAC" w14:textId="77777777" w:rsidR="00BC71C9" w:rsidRPr="003F6291" w:rsidRDefault="00BC71C9" w:rsidP="00D34956">
            <w:pPr>
              <w:spacing w:after="0"/>
              <w:rPr>
                <w:rFonts w:ascii="Arial Narrow" w:hAnsi="Arial Narrow"/>
                <w:sz w:val="18"/>
                <w:szCs w:val="18"/>
                <w:lang w:eastAsia="it-IT"/>
              </w:rPr>
            </w:pPr>
          </w:p>
        </w:tc>
        <w:tc>
          <w:tcPr>
            <w:tcW w:w="193" w:type="dxa"/>
            <w:tcBorders>
              <w:top w:val="nil"/>
            </w:tcBorders>
            <w:shd w:val="clear" w:color="auto" w:fill="D9D9D9" w:themeFill="background1" w:themeFillShade="D9"/>
            <w:noWrap/>
            <w:vAlign w:val="center"/>
            <w:hideMark/>
          </w:tcPr>
          <w:p w14:paraId="4EC0DA00" w14:textId="77777777" w:rsidR="00BC71C9" w:rsidRPr="003F6291" w:rsidRDefault="00BC71C9" w:rsidP="00D34956">
            <w:pPr>
              <w:spacing w:after="0"/>
              <w:rPr>
                <w:rFonts w:ascii="Arial Narrow" w:hAnsi="Arial Narrow"/>
                <w:sz w:val="18"/>
                <w:szCs w:val="18"/>
                <w:lang w:eastAsia="it-IT"/>
              </w:rPr>
            </w:pPr>
            <w:r w:rsidRPr="003F6291">
              <w:rPr>
                <w:rFonts w:ascii="Arial Narrow" w:hAnsi="Arial Narrow"/>
                <w:sz w:val="18"/>
                <w:szCs w:val="18"/>
                <w:lang w:eastAsia="it-IT"/>
              </w:rPr>
              <w:t> </w:t>
            </w:r>
          </w:p>
        </w:tc>
        <w:tc>
          <w:tcPr>
            <w:tcW w:w="1094" w:type="dxa"/>
            <w:vMerge/>
            <w:vAlign w:val="center"/>
            <w:hideMark/>
          </w:tcPr>
          <w:p w14:paraId="577812F5" w14:textId="77777777" w:rsidR="00BC71C9" w:rsidRPr="003F6291" w:rsidRDefault="00BC71C9" w:rsidP="00D34956">
            <w:pPr>
              <w:spacing w:after="0"/>
              <w:rPr>
                <w:rFonts w:ascii="Arial Narrow" w:hAnsi="Arial Narrow"/>
                <w:sz w:val="18"/>
                <w:szCs w:val="18"/>
                <w:lang w:eastAsia="it-IT"/>
              </w:rPr>
            </w:pPr>
          </w:p>
        </w:tc>
      </w:tr>
      <w:tr w:rsidR="00BC71C9" w:rsidRPr="003F6291" w14:paraId="47C1AABD" w14:textId="77777777" w:rsidTr="008068E8">
        <w:trPr>
          <w:trHeight w:val="247"/>
        </w:trPr>
        <w:tc>
          <w:tcPr>
            <w:tcW w:w="1869" w:type="dxa"/>
            <w:shd w:val="clear" w:color="auto" w:fill="1F3864" w:themeFill="accent5" w:themeFillShade="80"/>
            <w:noWrap/>
            <w:vAlign w:val="center"/>
            <w:hideMark/>
          </w:tcPr>
          <w:p w14:paraId="185DDF4C" w14:textId="77777777" w:rsidR="00BC71C9" w:rsidRPr="003F6291" w:rsidRDefault="00BC71C9" w:rsidP="00D34956">
            <w:pPr>
              <w:spacing w:after="0"/>
              <w:rPr>
                <w:rFonts w:ascii="Arial Narrow" w:hAnsi="Arial Narrow"/>
                <w:b/>
                <w:bCs/>
                <w:sz w:val="17"/>
                <w:szCs w:val="17"/>
                <w:lang w:eastAsia="it-IT"/>
              </w:rPr>
            </w:pPr>
            <w:r w:rsidRPr="003F6291">
              <w:rPr>
                <w:rFonts w:ascii="Arial Narrow" w:hAnsi="Arial Narrow"/>
                <w:b/>
                <w:bCs/>
                <w:sz w:val="17"/>
                <w:szCs w:val="17"/>
                <w:lang w:eastAsia="it-IT"/>
              </w:rPr>
              <w:t> </w:t>
            </w:r>
          </w:p>
        </w:tc>
        <w:tc>
          <w:tcPr>
            <w:tcW w:w="193" w:type="dxa"/>
            <w:shd w:val="clear" w:color="auto" w:fill="1F3864" w:themeFill="accent5" w:themeFillShade="80"/>
            <w:noWrap/>
            <w:vAlign w:val="center"/>
            <w:hideMark/>
          </w:tcPr>
          <w:p w14:paraId="644C320F" w14:textId="77777777" w:rsidR="00BC71C9" w:rsidRPr="003F6291" w:rsidRDefault="00BC71C9" w:rsidP="00D34956">
            <w:pPr>
              <w:spacing w:after="0"/>
              <w:rPr>
                <w:rFonts w:ascii="Arial Narrow" w:hAnsi="Arial Narrow"/>
                <w:b/>
                <w:bCs/>
                <w:sz w:val="17"/>
                <w:szCs w:val="17"/>
                <w:lang w:eastAsia="it-IT"/>
              </w:rPr>
            </w:pPr>
            <w:r w:rsidRPr="003F6291">
              <w:rPr>
                <w:rFonts w:ascii="Arial Narrow" w:hAnsi="Arial Narrow"/>
                <w:b/>
                <w:bCs/>
                <w:sz w:val="17"/>
                <w:szCs w:val="17"/>
                <w:lang w:eastAsia="it-IT"/>
              </w:rPr>
              <w:t> </w:t>
            </w:r>
          </w:p>
        </w:tc>
        <w:tc>
          <w:tcPr>
            <w:tcW w:w="4348" w:type="dxa"/>
            <w:gridSpan w:val="6"/>
            <w:shd w:val="clear" w:color="auto" w:fill="1F3864" w:themeFill="accent5" w:themeFillShade="80"/>
            <w:noWrap/>
            <w:vAlign w:val="center"/>
            <w:hideMark/>
          </w:tcPr>
          <w:p w14:paraId="5A296647" w14:textId="77777777" w:rsidR="00BC71C9" w:rsidRPr="003F6291" w:rsidRDefault="00BC71C9" w:rsidP="008068E8">
            <w:pPr>
              <w:spacing w:before="40" w:after="20"/>
              <w:jc w:val="center"/>
              <w:rPr>
                <w:rFonts w:ascii="Arial Narrow" w:hAnsi="Arial Narrow"/>
                <w:b/>
                <w:bCs/>
                <w:color w:val="FFFFFF"/>
                <w:sz w:val="17"/>
                <w:szCs w:val="17"/>
                <w:lang w:eastAsia="it-IT"/>
              </w:rPr>
            </w:pPr>
            <w:r w:rsidRPr="003F6291">
              <w:rPr>
                <w:rFonts w:ascii="Arial Narrow" w:hAnsi="Arial Narrow"/>
                <w:b/>
                <w:bCs/>
                <w:color w:val="FFFFFF"/>
                <w:sz w:val="17"/>
                <w:szCs w:val="17"/>
                <w:lang w:eastAsia="it-IT"/>
              </w:rPr>
              <w:t>Occupati</w:t>
            </w:r>
          </w:p>
        </w:tc>
        <w:tc>
          <w:tcPr>
            <w:tcW w:w="193" w:type="dxa"/>
            <w:shd w:val="clear" w:color="auto" w:fill="1F3864" w:themeFill="accent5" w:themeFillShade="80"/>
            <w:noWrap/>
            <w:vAlign w:val="center"/>
            <w:hideMark/>
          </w:tcPr>
          <w:p w14:paraId="0145A32A" w14:textId="77777777" w:rsidR="00BC71C9" w:rsidRPr="003F6291" w:rsidRDefault="00BC71C9" w:rsidP="008068E8">
            <w:pPr>
              <w:spacing w:before="40" w:after="20"/>
              <w:rPr>
                <w:rFonts w:ascii="Arial Narrow" w:hAnsi="Arial Narrow"/>
                <w:b/>
                <w:bCs/>
                <w:color w:val="FFFFFF"/>
                <w:sz w:val="17"/>
                <w:szCs w:val="17"/>
                <w:lang w:eastAsia="it-IT"/>
              </w:rPr>
            </w:pPr>
            <w:r w:rsidRPr="003F6291">
              <w:rPr>
                <w:rFonts w:ascii="Arial Narrow" w:hAnsi="Arial Narrow"/>
                <w:b/>
                <w:bCs/>
                <w:color w:val="FFFFFF"/>
                <w:sz w:val="17"/>
                <w:szCs w:val="17"/>
                <w:lang w:eastAsia="it-IT"/>
              </w:rPr>
              <w:t> </w:t>
            </w:r>
          </w:p>
        </w:tc>
        <w:tc>
          <w:tcPr>
            <w:tcW w:w="3056" w:type="dxa"/>
            <w:gridSpan w:val="4"/>
            <w:shd w:val="clear" w:color="auto" w:fill="1F3864" w:themeFill="accent5" w:themeFillShade="80"/>
            <w:noWrap/>
            <w:vAlign w:val="center"/>
            <w:hideMark/>
          </w:tcPr>
          <w:p w14:paraId="67912EEA" w14:textId="77777777" w:rsidR="00BC71C9" w:rsidRPr="003F6291" w:rsidRDefault="00BC71C9" w:rsidP="008068E8">
            <w:pPr>
              <w:spacing w:before="40" w:after="20"/>
              <w:jc w:val="center"/>
              <w:rPr>
                <w:rFonts w:ascii="Arial Narrow" w:hAnsi="Arial Narrow"/>
                <w:b/>
                <w:bCs/>
                <w:color w:val="FFFFFF"/>
                <w:sz w:val="17"/>
                <w:szCs w:val="17"/>
                <w:lang w:eastAsia="it-IT"/>
              </w:rPr>
            </w:pPr>
            <w:r w:rsidRPr="003F6291">
              <w:rPr>
                <w:rFonts w:ascii="Arial Narrow" w:hAnsi="Arial Narrow"/>
                <w:b/>
                <w:bCs/>
                <w:color w:val="FFFFFF"/>
                <w:sz w:val="17"/>
                <w:szCs w:val="17"/>
                <w:lang w:eastAsia="it-IT"/>
              </w:rPr>
              <w:t>Tasso di occupazione 15-64 anni</w:t>
            </w:r>
          </w:p>
        </w:tc>
      </w:tr>
      <w:tr w:rsidR="00F77059" w:rsidRPr="00BE1190" w14:paraId="1D584D6E" w14:textId="77777777" w:rsidTr="00E3055E">
        <w:trPr>
          <w:trHeight w:val="247"/>
        </w:trPr>
        <w:tc>
          <w:tcPr>
            <w:tcW w:w="1869" w:type="dxa"/>
            <w:shd w:val="clear" w:color="auto" w:fill="auto"/>
            <w:noWrap/>
            <w:vAlign w:val="center"/>
            <w:hideMark/>
          </w:tcPr>
          <w:p w14:paraId="6BBFF0E5"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Totale</w:t>
            </w:r>
          </w:p>
        </w:tc>
        <w:tc>
          <w:tcPr>
            <w:tcW w:w="193" w:type="dxa"/>
            <w:shd w:val="clear" w:color="auto" w:fill="auto"/>
            <w:noWrap/>
            <w:vAlign w:val="center"/>
            <w:hideMark/>
          </w:tcPr>
          <w:p w14:paraId="3D897209"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center"/>
            <w:hideMark/>
          </w:tcPr>
          <w:p w14:paraId="5CE88BE0" w14:textId="6D5B5D0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23.230</w:t>
            </w:r>
          </w:p>
        </w:tc>
        <w:tc>
          <w:tcPr>
            <w:tcW w:w="768" w:type="dxa"/>
            <w:shd w:val="clear" w:color="auto" w:fill="auto"/>
            <w:noWrap/>
            <w:vAlign w:val="center"/>
            <w:hideMark/>
          </w:tcPr>
          <w:p w14:paraId="604AEA96" w14:textId="36152D4B"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25</w:t>
            </w:r>
          </w:p>
        </w:tc>
        <w:tc>
          <w:tcPr>
            <w:tcW w:w="799" w:type="dxa"/>
            <w:shd w:val="clear" w:color="auto" w:fill="F2F2F2" w:themeFill="background1" w:themeFillShade="F2"/>
            <w:noWrap/>
            <w:vAlign w:val="center"/>
            <w:hideMark/>
          </w:tcPr>
          <w:p w14:paraId="35167102" w14:textId="30843FA4"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0,1</w:t>
            </w:r>
          </w:p>
        </w:tc>
        <w:tc>
          <w:tcPr>
            <w:tcW w:w="193" w:type="dxa"/>
            <w:shd w:val="clear" w:color="auto" w:fill="auto"/>
            <w:noWrap/>
            <w:vAlign w:val="center"/>
            <w:hideMark/>
          </w:tcPr>
          <w:p w14:paraId="38FA1E83"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09" w:type="dxa"/>
            <w:shd w:val="clear" w:color="auto" w:fill="auto"/>
            <w:noWrap/>
            <w:vAlign w:val="center"/>
            <w:hideMark/>
          </w:tcPr>
          <w:p w14:paraId="6E7157B0" w14:textId="40C60FD8"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144</w:t>
            </w:r>
          </w:p>
        </w:tc>
        <w:tc>
          <w:tcPr>
            <w:tcW w:w="725" w:type="dxa"/>
            <w:shd w:val="clear" w:color="auto" w:fill="F2F2F2" w:themeFill="background1" w:themeFillShade="F2"/>
            <w:noWrap/>
            <w:vAlign w:val="center"/>
            <w:hideMark/>
          </w:tcPr>
          <w:p w14:paraId="0D3DDB73" w14:textId="78AC8D60"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0,6</w:t>
            </w:r>
          </w:p>
        </w:tc>
        <w:tc>
          <w:tcPr>
            <w:tcW w:w="193" w:type="dxa"/>
            <w:shd w:val="clear" w:color="auto" w:fill="auto"/>
            <w:noWrap/>
            <w:vAlign w:val="center"/>
            <w:hideMark/>
          </w:tcPr>
          <w:p w14:paraId="19187C75"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650" w:type="dxa"/>
            <w:shd w:val="clear" w:color="auto" w:fill="D9D9D9" w:themeFill="background1" w:themeFillShade="D9"/>
            <w:noWrap/>
            <w:vAlign w:val="center"/>
            <w:hideMark/>
          </w:tcPr>
          <w:p w14:paraId="5B6B5863" w14:textId="57D0450C"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58,7</w:t>
            </w:r>
          </w:p>
        </w:tc>
        <w:tc>
          <w:tcPr>
            <w:tcW w:w="1119" w:type="dxa"/>
            <w:shd w:val="clear" w:color="auto" w:fill="D9D9D9" w:themeFill="background1" w:themeFillShade="D9"/>
            <w:noWrap/>
            <w:vAlign w:val="center"/>
            <w:hideMark/>
          </w:tcPr>
          <w:p w14:paraId="402ABD89" w14:textId="4FA3ED1E"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0,1</w:t>
            </w:r>
          </w:p>
        </w:tc>
        <w:tc>
          <w:tcPr>
            <w:tcW w:w="193" w:type="dxa"/>
            <w:shd w:val="clear" w:color="auto" w:fill="D9D9D9" w:themeFill="background1" w:themeFillShade="D9"/>
            <w:noWrap/>
            <w:vAlign w:val="center"/>
            <w:hideMark/>
          </w:tcPr>
          <w:p w14:paraId="42B5F601"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094" w:type="dxa"/>
            <w:shd w:val="clear" w:color="auto" w:fill="D9D9D9" w:themeFill="background1" w:themeFillShade="D9"/>
            <w:noWrap/>
            <w:vAlign w:val="center"/>
            <w:hideMark/>
          </w:tcPr>
          <w:p w14:paraId="59AB57E8" w14:textId="6450F009"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0,5</w:t>
            </w:r>
          </w:p>
        </w:tc>
      </w:tr>
      <w:tr w:rsidR="00F77059" w:rsidRPr="00BE1190" w14:paraId="53F4B4F2" w14:textId="77777777" w:rsidTr="00E3055E">
        <w:trPr>
          <w:trHeight w:val="247"/>
        </w:trPr>
        <w:tc>
          <w:tcPr>
            <w:tcW w:w="1869" w:type="dxa"/>
            <w:shd w:val="clear" w:color="auto" w:fill="auto"/>
            <w:noWrap/>
            <w:vAlign w:val="center"/>
            <w:hideMark/>
          </w:tcPr>
          <w:p w14:paraId="5F9F28E2"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Genere</w:t>
            </w:r>
          </w:p>
        </w:tc>
        <w:tc>
          <w:tcPr>
            <w:tcW w:w="193" w:type="dxa"/>
            <w:shd w:val="clear" w:color="auto" w:fill="auto"/>
            <w:noWrap/>
            <w:vAlign w:val="center"/>
            <w:hideMark/>
          </w:tcPr>
          <w:p w14:paraId="77F06195"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center"/>
            <w:hideMark/>
          </w:tcPr>
          <w:p w14:paraId="5BDC7827"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68" w:type="dxa"/>
            <w:shd w:val="clear" w:color="auto" w:fill="auto"/>
            <w:noWrap/>
            <w:vAlign w:val="center"/>
            <w:hideMark/>
          </w:tcPr>
          <w:p w14:paraId="33FA6715"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99" w:type="dxa"/>
            <w:shd w:val="clear" w:color="auto" w:fill="F2F2F2" w:themeFill="background1" w:themeFillShade="F2"/>
            <w:noWrap/>
            <w:vAlign w:val="center"/>
            <w:hideMark/>
          </w:tcPr>
          <w:p w14:paraId="28514E39"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93" w:type="dxa"/>
            <w:shd w:val="clear" w:color="auto" w:fill="auto"/>
            <w:noWrap/>
            <w:vAlign w:val="center"/>
            <w:hideMark/>
          </w:tcPr>
          <w:p w14:paraId="5232A005"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09" w:type="dxa"/>
            <w:shd w:val="clear" w:color="auto" w:fill="auto"/>
            <w:noWrap/>
            <w:vAlign w:val="center"/>
            <w:hideMark/>
          </w:tcPr>
          <w:p w14:paraId="7B31CC4F"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25" w:type="dxa"/>
            <w:shd w:val="clear" w:color="auto" w:fill="F2F2F2" w:themeFill="background1" w:themeFillShade="F2"/>
            <w:noWrap/>
            <w:vAlign w:val="center"/>
            <w:hideMark/>
          </w:tcPr>
          <w:p w14:paraId="4077F380"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93" w:type="dxa"/>
            <w:shd w:val="clear" w:color="auto" w:fill="auto"/>
            <w:noWrap/>
            <w:vAlign w:val="center"/>
            <w:hideMark/>
          </w:tcPr>
          <w:p w14:paraId="54C558A1"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650" w:type="dxa"/>
            <w:shd w:val="clear" w:color="auto" w:fill="D9D9D9" w:themeFill="background1" w:themeFillShade="D9"/>
            <w:noWrap/>
            <w:vAlign w:val="center"/>
            <w:hideMark/>
          </w:tcPr>
          <w:p w14:paraId="31E5FE3E"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119" w:type="dxa"/>
            <w:shd w:val="clear" w:color="auto" w:fill="D9D9D9" w:themeFill="background1" w:themeFillShade="D9"/>
            <w:noWrap/>
            <w:vAlign w:val="center"/>
            <w:hideMark/>
          </w:tcPr>
          <w:p w14:paraId="5F575DA0"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93" w:type="dxa"/>
            <w:shd w:val="clear" w:color="auto" w:fill="D9D9D9" w:themeFill="background1" w:themeFillShade="D9"/>
            <w:noWrap/>
            <w:vAlign w:val="center"/>
            <w:hideMark/>
          </w:tcPr>
          <w:p w14:paraId="35AF9971"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094" w:type="dxa"/>
            <w:shd w:val="clear" w:color="auto" w:fill="D9D9D9" w:themeFill="background1" w:themeFillShade="D9"/>
            <w:noWrap/>
            <w:vAlign w:val="center"/>
            <w:hideMark/>
          </w:tcPr>
          <w:p w14:paraId="2C9E677B"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r>
      <w:tr w:rsidR="00F77059" w:rsidRPr="00BE1190" w14:paraId="54532545" w14:textId="77777777" w:rsidTr="00E3055E">
        <w:trPr>
          <w:trHeight w:val="247"/>
        </w:trPr>
        <w:tc>
          <w:tcPr>
            <w:tcW w:w="1869" w:type="dxa"/>
            <w:shd w:val="clear" w:color="auto" w:fill="auto"/>
            <w:noWrap/>
            <w:vAlign w:val="center"/>
            <w:hideMark/>
          </w:tcPr>
          <w:p w14:paraId="6DCE8AE4"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Maschi</w:t>
            </w:r>
          </w:p>
        </w:tc>
        <w:tc>
          <w:tcPr>
            <w:tcW w:w="193" w:type="dxa"/>
            <w:shd w:val="clear" w:color="auto" w:fill="auto"/>
            <w:noWrap/>
            <w:vAlign w:val="center"/>
            <w:hideMark/>
          </w:tcPr>
          <w:p w14:paraId="27B34B02"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24516112" w14:textId="24C93E5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13.414</w:t>
            </w:r>
          </w:p>
        </w:tc>
        <w:tc>
          <w:tcPr>
            <w:tcW w:w="768" w:type="dxa"/>
            <w:shd w:val="clear" w:color="auto" w:fill="auto"/>
            <w:noWrap/>
            <w:vAlign w:val="center"/>
            <w:hideMark/>
          </w:tcPr>
          <w:p w14:paraId="6105C51B" w14:textId="639CAA0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w:t>
            </w:r>
          </w:p>
        </w:tc>
        <w:tc>
          <w:tcPr>
            <w:tcW w:w="799" w:type="dxa"/>
            <w:shd w:val="clear" w:color="auto" w:fill="F2F2F2" w:themeFill="background1" w:themeFillShade="F2"/>
            <w:noWrap/>
            <w:vAlign w:val="center"/>
            <w:hideMark/>
          </w:tcPr>
          <w:p w14:paraId="35678748" w14:textId="49EB9624"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auto"/>
            <w:noWrap/>
            <w:vAlign w:val="center"/>
            <w:hideMark/>
          </w:tcPr>
          <w:p w14:paraId="5FBDB344"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0B9316F1" w14:textId="07EF12B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25</w:t>
            </w:r>
          </w:p>
        </w:tc>
        <w:tc>
          <w:tcPr>
            <w:tcW w:w="725" w:type="dxa"/>
            <w:shd w:val="clear" w:color="auto" w:fill="F2F2F2" w:themeFill="background1" w:themeFillShade="F2"/>
            <w:noWrap/>
            <w:vAlign w:val="center"/>
            <w:hideMark/>
          </w:tcPr>
          <w:p w14:paraId="24E3C9DC" w14:textId="1C6E27D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0,2</w:t>
            </w:r>
          </w:p>
        </w:tc>
        <w:tc>
          <w:tcPr>
            <w:tcW w:w="193" w:type="dxa"/>
            <w:shd w:val="clear" w:color="auto" w:fill="auto"/>
            <w:noWrap/>
            <w:vAlign w:val="center"/>
            <w:hideMark/>
          </w:tcPr>
          <w:p w14:paraId="51C3BA23"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5CC8B9EA" w14:textId="6946E29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67,6</w:t>
            </w:r>
          </w:p>
        </w:tc>
        <w:tc>
          <w:tcPr>
            <w:tcW w:w="1119" w:type="dxa"/>
            <w:shd w:val="clear" w:color="auto" w:fill="D9D9D9" w:themeFill="background1" w:themeFillShade="D9"/>
            <w:noWrap/>
            <w:vAlign w:val="center"/>
            <w:hideMark/>
          </w:tcPr>
          <w:p w14:paraId="1B9120C0" w14:textId="03C5FAB5"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29A217F4"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4A7DB9F1" w14:textId="09FF01C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0,3</w:t>
            </w:r>
          </w:p>
        </w:tc>
      </w:tr>
      <w:tr w:rsidR="00F77059" w:rsidRPr="00BE1190" w14:paraId="68169DD3" w14:textId="77777777" w:rsidTr="00E3055E">
        <w:trPr>
          <w:trHeight w:val="247"/>
        </w:trPr>
        <w:tc>
          <w:tcPr>
            <w:tcW w:w="1869" w:type="dxa"/>
            <w:shd w:val="clear" w:color="auto" w:fill="auto"/>
            <w:noWrap/>
            <w:vAlign w:val="center"/>
            <w:hideMark/>
          </w:tcPr>
          <w:p w14:paraId="14C9B64A"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Femmine</w:t>
            </w:r>
          </w:p>
        </w:tc>
        <w:tc>
          <w:tcPr>
            <w:tcW w:w="193" w:type="dxa"/>
            <w:shd w:val="clear" w:color="auto" w:fill="auto"/>
            <w:noWrap/>
            <w:vAlign w:val="center"/>
            <w:hideMark/>
          </w:tcPr>
          <w:p w14:paraId="1962EFC7"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0395764B" w14:textId="40DD73DF"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9.817</w:t>
            </w:r>
          </w:p>
        </w:tc>
        <w:tc>
          <w:tcPr>
            <w:tcW w:w="768" w:type="dxa"/>
            <w:shd w:val="clear" w:color="auto" w:fill="auto"/>
            <w:noWrap/>
            <w:vAlign w:val="center"/>
            <w:hideMark/>
          </w:tcPr>
          <w:p w14:paraId="17E7DC49" w14:textId="1402630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29</w:t>
            </w:r>
          </w:p>
        </w:tc>
        <w:tc>
          <w:tcPr>
            <w:tcW w:w="799" w:type="dxa"/>
            <w:shd w:val="clear" w:color="auto" w:fill="F2F2F2" w:themeFill="background1" w:themeFillShade="F2"/>
            <w:noWrap/>
            <w:vAlign w:val="center"/>
            <w:hideMark/>
          </w:tcPr>
          <w:p w14:paraId="34FAA979" w14:textId="62D8EDC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0,3</w:t>
            </w:r>
          </w:p>
        </w:tc>
        <w:tc>
          <w:tcPr>
            <w:tcW w:w="193" w:type="dxa"/>
            <w:shd w:val="clear" w:color="auto" w:fill="auto"/>
            <w:noWrap/>
            <w:vAlign w:val="center"/>
            <w:hideMark/>
          </w:tcPr>
          <w:p w14:paraId="0F444F57"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4AA481EA" w14:textId="76B033D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119</w:t>
            </w:r>
          </w:p>
        </w:tc>
        <w:tc>
          <w:tcPr>
            <w:tcW w:w="725" w:type="dxa"/>
            <w:shd w:val="clear" w:color="auto" w:fill="F2F2F2" w:themeFill="background1" w:themeFillShade="F2"/>
            <w:noWrap/>
            <w:vAlign w:val="center"/>
            <w:hideMark/>
          </w:tcPr>
          <w:p w14:paraId="2418C886" w14:textId="1E0A1D9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1,2</w:t>
            </w:r>
          </w:p>
        </w:tc>
        <w:tc>
          <w:tcPr>
            <w:tcW w:w="193" w:type="dxa"/>
            <w:shd w:val="clear" w:color="auto" w:fill="auto"/>
            <w:noWrap/>
            <w:vAlign w:val="center"/>
            <w:hideMark/>
          </w:tcPr>
          <w:p w14:paraId="65D18057"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31356445" w14:textId="7992534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49,9</w:t>
            </w:r>
          </w:p>
        </w:tc>
        <w:tc>
          <w:tcPr>
            <w:tcW w:w="1119" w:type="dxa"/>
            <w:shd w:val="clear" w:color="auto" w:fill="D9D9D9" w:themeFill="background1" w:themeFillShade="D9"/>
            <w:noWrap/>
            <w:vAlign w:val="center"/>
            <w:hideMark/>
          </w:tcPr>
          <w:p w14:paraId="68547CA9" w14:textId="6AE0EC4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0,2</w:t>
            </w:r>
          </w:p>
        </w:tc>
        <w:tc>
          <w:tcPr>
            <w:tcW w:w="193" w:type="dxa"/>
            <w:shd w:val="clear" w:color="auto" w:fill="D9D9D9" w:themeFill="background1" w:themeFillShade="D9"/>
            <w:noWrap/>
            <w:vAlign w:val="center"/>
            <w:hideMark/>
          </w:tcPr>
          <w:p w14:paraId="0C3F582F"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7526AF0E" w14:textId="12ED464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0,8</w:t>
            </w:r>
          </w:p>
        </w:tc>
      </w:tr>
      <w:tr w:rsidR="00F77059" w:rsidRPr="00BE1190" w14:paraId="364F66F3" w14:textId="77777777" w:rsidTr="00E3055E">
        <w:trPr>
          <w:trHeight w:val="247"/>
        </w:trPr>
        <w:tc>
          <w:tcPr>
            <w:tcW w:w="1869" w:type="dxa"/>
            <w:shd w:val="clear" w:color="auto" w:fill="auto"/>
            <w:noWrap/>
            <w:vAlign w:val="center"/>
            <w:hideMark/>
          </w:tcPr>
          <w:p w14:paraId="46B19D84"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Classi di età</w:t>
            </w:r>
          </w:p>
        </w:tc>
        <w:tc>
          <w:tcPr>
            <w:tcW w:w="193" w:type="dxa"/>
            <w:shd w:val="clear" w:color="auto" w:fill="auto"/>
            <w:noWrap/>
            <w:vAlign w:val="center"/>
            <w:hideMark/>
          </w:tcPr>
          <w:p w14:paraId="26F4A014"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bottom"/>
            <w:hideMark/>
          </w:tcPr>
          <w:p w14:paraId="11ADF1EA"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68" w:type="dxa"/>
            <w:shd w:val="clear" w:color="auto" w:fill="auto"/>
            <w:noWrap/>
            <w:vAlign w:val="bottom"/>
            <w:hideMark/>
          </w:tcPr>
          <w:p w14:paraId="59265EE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99" w:type="dxa"/>
            <w:shd w:val="clear" w:color="auto" w:fill="F2F2F2" w:themeFill="background1" w:themeFillShade="F2"/>
            <w:noWrap/>
            <w:vAlign w:val="bottom"/>
            <w:hideMark/>
          </w:tcPr>
          <w:p w14:paraId="30135C9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71D31DA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4B25C751"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25" w:type="dxa"/>
            <w:shd w:val="clear" w:color="auto" w:fill="F2F2F2" w:themeFill="background1" w:themeFillShade="F2"/>
            <w:noWrap/>
            <w:vAlign w:val="center"/>
            <w:hideMark/>
          </w:tcPr>
          <w:p w14:paraId="035C501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07781CEE"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bottom"/>
            <w:hideMark/>
          </w:tcPr>
          <w:p w14:paraId="25FA82E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119" w:type="dxa"/>
            <w:shd w:val="clear" w:color="auto" w:fill="D9D9D9" w:themeFill="background1" w:themeFillShade="D9"/>
            <w:noWrap/>
            <w:vAlign w:val="bottom"/>
            <w:hideMark/>
          </w:tcPr>
          <w:p w14:paraId="167C5A0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D9D9D9" w:themeFill="background1" w:themeFillShade="D9"/>
            <w:noWrap/>
            <w:vAlign w:val="center"/>
            <w:hideMark/>
          </w:tcPr>
          <w:p w14:paraId="3B962897"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0A9FFA3B"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r>
      <w:tr w:rsidR="00F77059" w:rsidRPr="00BE1190" w14:paraId="1DC600EB" w14:textId="77777777" w:rsidTr="00E3055E">
        <w:trPr>
          <w:trHeight w:val="247"/>
        </w:trPr>
        <w:tc>
          <w:tcPr>
            <w:tcW w:w="1869" w:type="dxa"/>
            <w:shd w:val="clear" w:color="auto" w:fill="auto"/>
            <w:noWrap/>
            <w:vAlign w:val="center"/>
            <w:hideMark/>
          </w:tcPr>
          <w:p w14:paraId="1F2D56FD"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15-34 anni</w:t>
            </w:r>
          </w:p>
        </w:tc>
        <w:tc>
          <w:tcPr>
            <w:tcW w:w="193" w:type="dxa"/>
            <w:shd w:val="clear" w:color="auto" w:fill="auto"/>
            <w:noWrap/>
            <w:vAlign w:val="center"/>
            <w:hideMark/>
          </w:tcPr>
          <w:p w14:paraId="296EF22A"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204D0F53" w14:textId="4618327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5.128</w:t>
            </w:r>
          </w:p>
        </w:tc>
        <w:tc>
          <w:tcPr>
            <w:tcW w:w="768" w:type="dxa"/>
            <w:shd w:val="clear" w:color="auto" w:fill="auto"/>
            <w:noWrap/>
            <w:vAlign w:val="center"/>
            <w:hideMark/>
          </w:tcPr>
          <w:p w14:paraId="4751A35E" w14:textId="581E3CD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43</w:t>
            </w:r>
          </w:p>
        </w:tc>
        <w:tc>
          <w:tcPr>
            <w:tcW w:w="799" w:type="dxa"/>
            <w:shd w:val="clear" w:color="auto" w:fill="F2F2F2" w:themeFill="background1" w:themeFillShade="F2"/>
            <w:noWrap/>
            <w:vAlign w:val="center"/>
            <w:hideMark/>
          </w:tcPr>
          <w:p w14:paraId="21F51A2D" w14:textId="13F6ED4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0,9</w:t>
            </w:r>
          </w:p>
        </w:tc>
        <w:tc>
          <w:tcPr>
            <w:tcW w:w="193" w:type="dxa"/>
            <w:shd w:val="clear" w:color="auto" w:fill="auto"/>
            <w:noWrap/>
            <w:vAlign w:val="center"/>
            <w:hideMark/>
          </w:tcPr>
          <w:p w14:paraId="52F9FFB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5BD33737" w14:textId="4B5CC68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31</w:t>
            </w:r>
          </w:p>
        </w:tc>
        <w:tc>
          <w:tcPr>
            <w:tcW w:w="725" w:type="dxa"/>
            <w:shd w:val="clear" w:color="auto" w:fill="F2F2F2" w:themeFill="background1" w:themeFillShade="F2"/>
            <w:noWrap/>
            <w:vAlign w:val="center"/>
            <w:hideMark/>
          </w:tcPr>
          <w:p w14:paraId="50FA13DE" w14:textId="2AF837B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c>
          <w:tcPr>
            <w:tcW w:w="193" w:type="dxa"/>
            <w:shd w:val="clear" w:color="auto" w:fill="auto"/>
            <w:noWrap/>
            <w:vAlign w:val="center"/>
            <w:hideMark/>
          </w:tcPr>
          <w:p w14:paraId="24D91227"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369A283A" w14:textId="13421115"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41,3</w:t>
            </w:r>
          </w:p>
        </w:tc>
        <w:tc>
          <w:tcPr>
            <w:tcW w:w="1119" w:type="dxa"/>
            <w:shd w:val="clear" w:color="auto" w:fill="D9D9D9" w:themeFill="background1" w:themeFillShade="D9"/>
            <w:noWrap/>
            <w:vAlign w:val="center"/>
            <w:hideMark/>
          </w:tcPr>
          <w:p w14:paraId="53060C8A" w14:textId="621E215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0,4</w:t>
            </w:r>
          </w:p>
        </w:tc>
        <w:tc>
          <w:tcPr>
            <w:tcW w:w="193" w:type="dxa"/>
            <w:shd w:val="clear" w:color="auto" w:fill="D9D9D9" w:themeFill="background1" w:themeFillShade="D9"/>
            <w:noWrap/>
            <w:vAlign w:val="center"/>
            <w:hideMark/>
          </w:tcPr>
          <w:p w14:paraId="2A1BF15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0D05421D" w14:textId="154F943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0,5</w:t>
            </w:r>
          </w:p>
        </w:tc>
      </w:tr>
      <w:tr w:rsidR="00F77059" w:rsidRPr="00BE1190" w14:paraId="03AE31C9" w14:textId="77777777" w:rsidTr="00E3055E">
        <w:trPr>
          <w:trHeight w:val="247"/>
        </w:trPr>
        <w:tc>
          <w:tcPr>
            <w:tcW w:w="1869" w:type="dxa"/>
            <w:shd w:val="clear" w:color="auto" w:fill="auto"/>
            <w:noWrap/>
            <w:vAlign w:val="center"/>
            <w:hideMark/>
          </w:tcPr>
          <w:p w14:paraId="501DFB8E"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35-49 anni</w:t>
            </w:r>
          </w:p>
        </w:tc>
        <w:tc>
          <w:tcPr>
            <w:tcW w:w="193" w:type="dxa"/>
            <w:shd w:val="clear" w:color="auto" w:fill="auto"/>
            <w:noWrap/>
            <w:vAlign w:val="center"/>
            <w:hideMark/>
          </w:tcPr>
          <w:p w14:paraId="29485BAA"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57F163DF" w14:textId="104EA38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9.550</w:t>
            </w:r>
          </w:p>
        </w:tc>
        <w:tc>
          <w:tcPr>
            <w:tcW w:w="768" w:type="dxa"/>
            <w:shd w:val="clear" w:color="auto" w:fill="auto"/>
            <w:noWrap/>
            <w:vAlign w:val="center"/>
            <w:hideMark/>
          </w:tcPr>
          <w:p w14:paraId="6291370E" w14:textId="3097378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-53</w:t>
            </w:r>
          </w:p>
        </w:tc>
        <w:tc>
          <w:tcPr>
            <w:tcW w:w="799" w:type="dxa"/>
            <w:shd w:val="clear" w:color="auto" w:fill="F2F2F2" w:themeFill="background1" w:themeFillShade="F2"/>
            <w:noWrap/>
            <w:vAlign w:val="center"/>
            <w:hideMark/>
          </w:tcPr>
          <w:p w14:paraId="77F9F424" w14:textId="574EBAD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c>
          <w:tcPr>
            <w:tcW w:w="193" w:type="dxa"/>
            <w:shd w:val="clear" w:color="auto" w:fill="auto"/>
            <w:noWrap/>
            <w:vAlign w:val="center"/>
            <w:hideMark/>
          </w:tcPr>
          <w:p w14:paraId="4B18040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735FA9F4" w14:textId="222913AF"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-114</w:t>
            </w:r>
          </w:p>
        </w:tc>
        <w:tc>
          <w:tcPr>
            <w:tcW w:w="725" w:type="dxa"/>
            <w:shd w:val="clear" w:color="auto" w:fill="F2F2F2" w:themeFill="background1" w:themeFillShade="F2"/>
            <w:noWrap/>
            <w:vAlign w:val="center"/>
            <w:hideMark/>
          </w:tcPr>
          <w:p w14:paraId="3807E9EE" w14:textId="15CF6F8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-1,2</w:t>
            </w:r>
          </w:p>
        </w:tc>
        <w:tc>
          <w:tcPr>
            <w:tcW w:w="193" w:type="dxa"/>
            <w:shd w:val="clear" w:color="auto" w:fill="auto"/>
            <w:noWrap/>
            <w:vAlign w:val="center"/>
            <w:hideMark/>
          </w:tcPr>
          <w:p w14:paraId="22A625B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5B0146DA" w14:textId="11C36F50"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73,6</w:t>
            </w:r>
          </w:p>
        </w:tc>
        <w:tc>
          <w:tcPr>
            <w:tcW w:w="1119" w:type="dxa"/>
            <w:shd w:val="clear" w:color="auto" w:fill="D9D9D9" w:themeFill="background1" w:themeFillShade="D9"/>
            <w:noWrap/>
            <w:vAlign w:val="center"/>
            <w:hideMark/>
          </w:tcPr>
          <w:p w14:paraId="5B07F894" w14:textId="2D72CAB5"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5BD8285F"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0E919FDA" w14:textId="082FF27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0,8</w:t>
            </w:r>
          </w:p>
        </w:tc>
      </w:tr>
      <w:tr w:rsidR="00F77059" w:rsidRPr="00BE1190" w14:paraId="095496B8" w14:textId="77777777" w:rsidTr="00E3055E">
        <w:trPr>
          <w:trHeight w:val="247"/>
        </w:trPr>
        <w:tc>
          <w:tcPr>
            <w:tcW w:w="1869" w:type="dxa"/>
            <w:shd w:val="clear" w:color="auto" w:fill="auto"/>
            <w:noWrap/>
            <w:vAlign w:val="center"/>
            <w:hideMark/>
          </w:tcPr>
          <w:p w14:paraId="4CB8995A"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50 anni e oltre (*)</w:t>
            </w:r>
          </w:p>
        </w:tc>
        <w:tc>
          <w:tcPr>
            <w:tcW w:w="193" w:type="dxa"/>
            <w:shd w:val="clear" w:color="auto" w:fill="auto"/>
            <w:noWrap/>
            <w:vAlign w:val="center"/>
            <w:hideMark/>
          </w:tcPr>
          <w:p w14:paraId="60DFE769"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08BD9F8F" w14:textId="3E25B2D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8.553</w:t>
            </w:r>
          </w:p>
        </w:tc>
        <w:tc>
          <w:tcPr>
            <w:tcW w:w="768" w:type="dxa"/>
            <w:shd w:val="clear" w:color="auto" w:fill="auto"/>
            <w:noWrap/>
            <w:vAlign w:val="center"/>
            <w:hideMark/>
          </w:tcPr>
          <w:p w14:paraId="6D9EE074" w14:textId="34E3648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34</w:t>
            </w:r>
          </w:p>
        </w:tc>
        <w:tc>
          <w:tcPr>
            <w:tcW w:w="799" w:type="dxa"/>
            <w:shd w:val="clear" w:color="auto" w:fill="F2F2F2" w:themeFill="background1" w:themeFillShade="F2"/>
            <w:noWrap/>
            <w:vAlign w:val="center"/>
            <w:hideMark/>
          </w:tcPr>
          <w:p w14:paraId="0315A221" w14:textId="40B95D2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0,4</w:t>
            </w:r>
          </w:p>
        </w:tc>
        <w:tc>
          <w:tcPr>
            <w:tcW w:w="193" w:type="dxa"/>
            <w:shd w:val="clear" w:color="auto" w:fill="auto"/>
            <w:noWrap/>
            <w:vAlign w:val="center"/>
            <w:hideMark/>
          </w:tcPr>
          <w:p w14:paraId="6FF97353"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4FCA1EDB" w14:textId="64B6857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226</w:t>
            </w:r>
          </w:p>
        </w:tc>
        <w:tc>
          <w:tcPr>
            <w:tcW w:w="725" w:type="dxa"/>
            <w:shd w:val="clear" w:color="auto" w:fill="F2F2F2" w:themeFill="background1" w:themeFillShade="F2"/>
            <w:noWrap/>
            <w:vAlign w:val="center"/>
            <w:hideMark/>
          </w:tcPr>
          <w:p w14:paraId="180E90F3" w14:textId="2E9E16F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2,7</w:t>
            </w:r>
          </w:p>
        </w:tc>
        <w:tc>
          <w:tcPr>
            <w:tcW w:w="193" w:type="dxa"/>
            <w:shd w:val="clear" w:color="auto" w:fill="auto"/>
            <w:noWrap/>
            <w:vAlign w:val="center"/>
            <w:hideMark/>
          </w:tcPr>
          <w:p w14:paraId="01DB888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5E10889D" w14:textId="761BA67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60,5</w:t>
            </w:r>
          </w:p>
        </w:tc>
        <w:tc>
          <w:tcPr>
            <w:tcW w:w="1119" w:type="dxa"/>
            <w:shd w:val="clear" w:color="auto" w:fill="D9D9D9" w:themeFill="background1" w:themeFillShade="D9"/>
            <w:noWrap/>
            <w:vAlign w:val="center"/>
            <w:hideMark/>
          </w:tcPr>
          <w:p w14:paraId="3B55E161" w14:textId="19DBD6A6"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68B417C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60005F4A" w14:textId="4FFFDA0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r>
      <w:tr w:rsidR="00BC71C9" w:rsidRPr="003F6291" w14:paraId="45102D85" w14:textId="77777777" w:rsidTr="008068E8">
        <w:trPr>
          <w:trHeight w:val="247"/>
        </w:trPr>
        <w:tc>
          <w:tcPr>
            <w:tcW w:w="1869" w:type="dxa"/>
            <w:shd w:val="clear" w:color="auto" w:fill="1F3864" w:themeFill="accent5" w:themeFillShade="80"/>
            <w:noWrap/>
            <w:vAlign w:val="center"/>
            <w:hideMark/>
          </w:tcPr>
          <w:p w14:paraId="0D26B57D" w14:textId="77777777" w:rsidR="00BC71C9" w:rsidRPr="003F6291" w:rsidRDefault="00BC71C9" w:rsidP="00D34956">
            <w:pPr>
              <w:spacing w:after="0"/>
              <w:rPr>
                <w:rFonts w:ascii="Arial Narrow" w:hAnsi="Arial Narrow"/>
                <w:b/>
                <w:bCs/>
                <w:sz w:val="17"/>
                <w:szCs w:val="17"/>
                <w:lang w:eastAsia="it-IT"/>
              </w:rPr>
            </w:pPr>
          </w:p>
        </w:tc>
        <w:tc>
          <w:tcPr>
            <w:tcW w:w="193" w:type="dxa"/>
            <w:shd w:val="clear" w:color="auto" w:fill="1F3864" w:themeFill="accent5" w:themeFillShade="80"/>
            <w:noWrap/>
            <w:vAlign w:val="center"/>
            <w:hideMark/>
          </w:tcPr>
          <w:p w14:paraId="210D2912" w14:textId="77777777" w:rsidR="00BC71C9" w:rsidRPr="003F6291" w:rsidRDefault="00BC71C9" w:rsidP="00D34956">
            <w:pPr>
              <w:spacing w:after="0"/>
              <w:rPr>
                <w:rFonts w:ascii="Arial Narrow" w:hAnsi="Arial Narrow"/>
                <w:b/>
                <w:bCs/>
                <w:sz w:val="17"/>
                <w:szCs w:val="17"/>
                <w:lang w:eastAsia="it-IT"/>
              </w:rPr>
            </w:pPr>
          </w:p>
        </w:tc>
        <w:tc>
          <w:tcPr>
            <w:tcW w:w="4348" w:type="dxa"/>
            <w:gridSpan w:val="6"/>
            <w:shd w:val="clear" w:color="auto" w:fill="1F3864" w:themeFill="accent5" w:themeFillShade="80"/>
            <w:noWrap/>
            <w:vAlign w:val="center"/>
            <w:hideMark/>
          </w:tcPr>
          <w:p w14:paraId="10ED54E9" w14:textId="77777777" w:rsidR="00BC71C9" w:rsidRPr="003F6291" w:rsidRDefault="00BC71C9" w:rsidP="00D34956">
            <w:pPr>
              <w:spacing w:after="0"/>
              <w:jc w:val="center"/>
              <w:rPr>
                <w:rFonts w:ascii="Arial Narrow" w:hAnsi="Arial Narrow"/>
                <w:b/>
                <w:bCs/>
                <w:sz w:val="17"/>
                <w:szCs w:val="17"/>
                <w:lang w:eastAsia="it-IT"/>
              </w:rPr>
            </w:pPr>
            <w:r w:rsidRPr="003F6291">
              <w:rPr>
                <w:rFonts w:ascii="Arial Narrow" w:hAnsi="Arial Narrow"/>
                <w:b/>
                <w:bCs/>
                <w:sz w:val="17"/>
                <w:szCs w:val="17"/>
                <w:lang w:eastAsia="it-IT"/>
              </w:rPr>
              <w:t>Disoccupati</w:t>
            </w:r>
          </w:p>
        </w:tc>
        <w:tc>
          <w:tcPr>
            <w:tcW w:w="193" w:type="dxa"/>
            <w:shd w:val="clear" w:color="auto" w:fill="1F3864" w:themeFill="accent5" w:themeFillShade="80"/>
            <w:noWrap/>
            <w:vAlign w:val="center"/>
            <w:hideMark/>
          </w:tcPr>
          <w:p w14:paraId="7BDF190D" w14:textId="77777777" w:rsidR="00BC71C9" w:rsidRPr="003F6291" w:rsidRDefault="00BC71C9" w:rsidP="00D34956">
            <w:pPr>
              <w:spacing w:after="0"/>
              <w:rPr>
                <w:rFonts w:ascii="Arial Narrow" w:hAnsi="Arial Narrow"/>
                <w:b/>
                <w:bCs/>
                <w:sz w:val="17"/>
                <w:szCs w:val="17"/>
                <w:lang w:eastAsia="it-IT"/>
              </w:rPr>
            </w:pPr>
          </w:p>
        </w:tc>
        <w:tc>
          <w:tcPr>
            <w:tcW w:w="3056" w:type="dxa"/>
            <w:gridSpan w:val="4"/>
            <w:shd w:val="clear" w:color="auto" w:fill="1F3864" w:themeFill="accent5" w:themeFillShade="80"/>
            <w:noWrap/>
            <w:vAlign w:val="center"/>
            <w:hideMark/>
          </w:tcPr>
          <w:p w14:paraId="38D10095" w14:textId="77777777" w:rsidR="00BC71C9" w:rsidRPr="003F6291" w:rsidRDefault="00BC71C9" w:rsidP="00D34956">
            <w:pPr>
              <w:spacing w:after="0"/>
              <w:jc w:val="center"/>
              <w:rPr>
                <w:rFonts w:ascii="Arial Narrow" w:hAnsi="Arial Narrow"/>
                <w:b/>
                <w:bCs/>
                <w:sz w:val="17"/>
                <w:szCs w:val="17"/>
                <w:lang w:eastAsia="it-IT"/>
              </w:rPr>
            </w:pPr>
            <w:r w:rsidRPr="003F6291">
              <w:rPr>
                <w:rFonts w:ascii="Arial Narrow" w:hAnsi="Arial Narrow"/>
                <w:b/>
                <w:bCs/>
                <w:sz w:val="17"/>
                <w:szCs w:val="17"/>
                <w:lang w:eastAsia="it-IT"/>
              </w:rPr>
              <w:t>Tasso di disoccupazione</w:t>
            </w:r>
          </w:p>
        </w:tc>
      </w:tr>
      <w:tr w:rsidR="00F77059" w:rsidRPr="003F6291" w14:paraId="6A6C3841" w14:textId="77777777" w:rsidTr="00E3055E">
        <w:trPr>
          <w:trHeight w:val="83"/>
        </w:trPr>
        <w:tc>
          <w:tcPr>
            <w:tcW w:w="1869" w:type="dxa"/>
            <w:shd w:val="clear" w:color="auto" w:fill="auto"/>
            <w:noWrap/>
            <w:vAlign w:val="center"/>
            <w:hideMark/>
          </w:tcPr>
          <w:p w14:paraId="18AF158B"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Totale</w:t>
            </w:r>
          </w:p>
        </w:tc>
        <w:tc>
          <w:tcPr>
            <w:tcW w:w="193" w:type="dxa"/>
            <w:shd w:val="clear" w:color="auto" w:fill="auto"/>
            <w:noWrap/>
            <w:vAlign w:val="center"/>
            <w:hideMark/>
          </w:tcPr>
          <w:p w14:paraId="0FDA4140"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center"/>
            <w:hideMark/>
          </w:tcPr>
          <w:p w14:paraId="4306003A" w14:textId="36EB5DE5"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2.702</w:t>
            </w:r>
          </w:p>
        </w:tc>
        <w:tc>
          <w:tcPr>
            <w:tcW w:w="768" w:type="dxa"/>
            <w:shd w:val="clear" w:color="auto" w:fill="auto"/>
            <w:noWrap/>
            <w:vAlign w:val="center"/>
            <w:hideMark/>
          </w:tcPr>
          <w:p w14:paraId="584391F4" w14:textId="400D93D4"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-43</w:t>
            </w:r>
          </w:p>
        </w:tc>
        <w:tc>
          <w:tcPr>
            <w:tcW w:w="799" w:type="dxa"/>
            <w:shd w:val="clear" w:color="auto" w:fill="F2F2F2" w:themeFill="background1" w:themeFillShade="F2"/>
            <w:noWrap/>
            <w:vAlign w:val="center"/>
            <w:hideMark/>
          </w:tcPr>
          <w:p w14:paraId="33431229" w14:textId="18F4DDFD"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-1,6</w:t>
            </w:r>
          </w:p>
        </w:tc>
        <w:tc>
          <w:tcPr>
            <w:tcW w:w="193" w:type="dxa"/>
            <w:shd w:val="clear" w:color="auto" w:fill="auto"/>
            <w:noWrap/>
            <w:vAlign w:val="center"/>
            <w:hideMark/>
          </w:tcPr>
          <w:p w14:paraId="2F1C848A"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09" w:type="dxa"/>
            <w:shd w:val="clear" w:color="auto" w:fill="auto"/>
            <w:noWrap/>
            <w:vAlign w:val="center"/>
            <w:hideMark/>
          </w:tcPr>
          <w:p w14:paraId="74156D35" w14:textId="452853C1"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-138</w:t>
            </w:r>
          </w:p>
        </w:tc>
        <w:tc>
          <w:tcPr>
            <w:tcW w:w="725" w:type="dxa"/>
            <w:shd w:val="clear" w:color="auto" w:fill="F2F2F2" w:themeFill="background1" w:themeFillShade="F2"/>
            <w:noWrap/>
            <w:vAlign w:val="center"/>
            <w:hideMark/>
          </w:tcPr>
          <w:p w14:paraId="750B8A9A" w14:textId="2AA628A9"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-4,6</w:t>
            </w:r>
          </w:p>
        </w:tc>
        <w:tc>
          <w:tcPr>
            <w:tcW w:w="193" w:type="dxa"/>
            <w:shd w:val="clear" w:color="auto" w:fill="auto"/>
            <w:noWrap/>
            <w:vAlign w:val="center"/>
            <w:hideMark/>
          </w:tcPr>
          <w:p w14:paraId="56D13BFE"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650" w:type="dxa"/>
            <w:shd w:val="clear" w:color="auto" w:fill="D9D9D9" w:themeFill="background1" w:themeFillShade="D9"/>
            <w:noWrap/>
            <w:vAlign w:val="center"/>
            <w:hideMark/>
          </w:tcPr>
          <w:p w14:paraId="33F75777" w14:textId="20386C26"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10,4</w:t>
            </w:r>
          </w:p>
        </w:tc>
        <w:tc>
          <w:tcPr>
            <w:tcW w:w="1119" w:type="dxa"/>
            <w:shd w:val="clear" w:color="auto" w:fill="D9D9D9" w:themeFill="background1" w:themeFillShade="D9"/>
            <w:noWrap/>
            <w:vAlign w:val="center"/>
            <w:hideMark/>
          </w:tcPr>
          <w:p w14:paraId="32E3420E" w14:textId="33AA9A62"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-0,2</w:t>
            </w:r>
          </w:p>
        </w:tc>
        <w:tc>
          <w:tcPr>
            <w:tcW w:w="193" w:type="dxa"/>
            <w:shd w:val="clear" w:color="auto" w:fill="D9D9D9" w:themeFill="background1" w:themeFillShade="D9"/>
            <w:noWrap/>
            <w:vAlign w:val="center"/>
            <w:hideMark/>
          </w:tcPr>
          <w:p w14:paraId="5369D40C"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094" w:type="dxa"/>
            <w:shd w:val="clear" w:color="auto" w:fill="D9D9D9" w:themeFill="background1" w:themeFillShade="D9"/>
            <w:noWrap/>
            <w:vAlign w:val="center"/>
            <w:hideMark/>
          </w:tcPr>
          <w:p w14:paraId="1DF8BCB5" w14:textId="70F1DF92"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-0,5</w:t>
            </w:r>
          </w:p>
        </w:tc>
      </w:tr>
      <w:tr w:rsidR="00F77059" w:rsidRPr="003F6291" w14:paraId="57C1467D" w14:textId="77777777" w:rsidTr="00E3055E">
        <w:trPr>
          <w:trHeight w:val="247"/>
        </w:trPr>
        <w:tc>
          <w:tcPr>
            <w:tcW w:w="1869" w:type="dxa"/>
            <w:shd w:val="clear" w:color="auto" w:fill="auto"/>
            <w:noWrap/>
            <w:vAlign w:val="center"/>
            <w:hideMark/>
          </w:tcPr>
          <w:p w14:paraId="54B700E9"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Genere</w:t>
            </w:r>
          </w:p>
        </w:tc>
        <w:tc>
          <w:tcPr>
            <w:tcW w:w="193" w:type="dxa"/>
            <w:shd w:val="clear" w:color="auto" w:fill="auto"/>
            <w:noWrap/>
            <w:vAlign w:val="center"/>
            <w:hideMark/>
          </w:tcPr>
          <w:p w14:paraId="0BAAC8AF"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center"/>
            <w:hideMark/>
          </w:tcPr>
          <w:p w14:paraId="31E1937A"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68" w:type="dxa"/>
            <w:shd w:val="clear" w:color="auto" w:fill="auto"/>
            <w:noWrap/>
            <w:vAlign w:val="center"/>
            <w:hideMark/>
          </w:tcPr>
          <w:p w14:paraId="35E3881C"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99" w:type="dxa"/>
            <w:shd w:val="clear" w:color="auto" w:fill="F2F2F2" w:themeFill="background1" w:themeFillShade="F2"/>
            <w:noWrap/>
            <w:vAlign w:val="center"/>
            <w:hideMark/>
          </w:tcPr>
          <w:p w14:paraId="74E97D6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3C7BB89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71658EA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25" w:type="dxa"/>
            <w:shd w:val="clear" w:color="auto" w:fill="F2F2F2" w:themeFill="background1" w:themeFillShade="F2"/>
            <w:noWrap/>
            <w:vAlign w:val="center"/>
            <w:hideMark/>
          </w:tcPr>
          <w:p w14:paraId="601DE0E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7548CD2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04F38B4B"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119" w:type="dxa"/>
            <w:shd w:val="clear" w:color="auto" w:fill="D9D9D9" w:themeFill="background1" w:themeFillShade="D9"/>
            <w:noWrap/>
            <w:vAlign w:val="center"/>
            <w:hideMark/>
          </w:tcPr>
          <w:p w14:paraId="0E337738"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D9D9D9" w:themeFill="background1" w:themeFillShade="D9"/>
            <w:noWrap/>
            <w:vAlign w:val="center"/>
            <w:hideMark/>
          </w:tcPr>
          <w:p w14:paraId="677150F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013B3733"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r>
      <w:tr w:rsidR="00F77059" w:rsidRPr="003F6291" w14:paraId="48055D72" w14:textId="77777777" w:rsidTr="00E3055E">
        <w:trPr>
          <w:trHeight w:val="247"/>
        </w:trPr>
        <w:tc>
          <w:tcPr>
            <w:tcW w:w="1869" w:type="dxa"/>
            <w:shd w:val="clear" w:color="auto" w:fill="auto"/>
            <w:noWrap/>
            <w:vAlign w:val="center"/>
            <w:hideMark/>
          </w:tcPr>
          <w:p w14:paraId="2CBA14A3"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Maschi</w:t>
            </w:r>
          </w:p>
        </w:tc>
        <w:tc>
          <w:tcPr>
            <w:tcW w:w="193" w:type="dxa"/>
            <w:shd w:val="clear" w:color="auto" w:fill="auto"/>
            <w:noWrap/>
            <w:vAlign w:val="center"/>
            <w:hideMark/>
          </w:tcPr>
          <w:p w14:paraId="79B66D61"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668F1CF8" w14:textId="432C01D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1.429</w:t>
            </w:r>
          </w:p>
        </w:tc>
        <w:tc>
          <w:tcPr>
            <w:tcW w:w="768" w:type="dxa"/>
            <w:shd w:val="clear" w:color="auto" w:fill="auto"/>
            <w:noWrap/>
            <w:vAlign w:val="center"/>
            <w:hideMark/>
          </w:tcPr>
          <w:p w14:paraId="1B57442A" w14:textId="3FD9EF20"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-22</w:t>
            </w:r>
          </w:p>
        </w:tc>
        <w:tc>
          <w:tcPr>
            <w:tcW w:w="799" w:type="dxa"/>
            <w:shd w:val="clear" w:color="auto" w:fill="F2F2F2" w:themeFill="background1" w:themeFillShade="F2"/>
            <w:noWrap/>
            <w:vAlign w:val="center"/>
            <w:hideMark/>
          </w:tcPr>
          <w:p w14:paraId="7DDED293" w14:textId="6850167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-1,5</w:t>
            </w:r>
          </w:p>
        </w:tc>
        <w:tc>
          <w:tcPr>
            <w:tcW w:w="193" w:type="dxa"/>
            <w:shd w:val="clear" w:color="auto" w:fill="auto"/>
            <w:noWrap/>
            <w:vAlign w:val="center"/>
            <w:hideMark/>
          </w:tcPr>
          <w:p w14:paraId="68415101"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2CCD7A17" w14:textId="2254EB1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-54</w:t>
            </w:r>
          </w:p>
        </w:tc>
        <w:tc>
          <w:tcPr>
            <w:tcW w:w="725" w:type="dxa"/>
            <w:shd w:val="clear" w:color="auto" w:fill="F2F2F2" w:themeFill="background1" w:themeFillShade="F2"/>
            <w:noWrap/>
            <w:vAlign w:val="center"/>
            <w:hideMark/>
          </w:tcPr>
          <w:p w14:paraId="61D19F51" w14:textId="6B86DC1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-3,4</w:t>
            </w:r>
          </w:p>
        </w:tc>
        <w:tc>
          <w:tcPr>
            <w:tcW w:w="193" w:type="dxa"/>
            <w:shd w:val="clear" w:color="auto" w:fill="auto"/>
            <w:noWrap/>
            <w:vAlign w:val="center"/>
            <w:hideMark/>
          </w:tcPr>
          <w:p w14:paraId="41D9D3E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5CA2E07D" w14:textId="7EA4B05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9,6</w:t>
            </w:r>
          </w:p>
        </w:tc>
        <w:tc>
          <w:tcPr>
            <w:tcW w:w="1119" w:type="dxa"/>
            <w:shd w:val="clear" w:color="auto" w:fill="D9D9D9" w:themeFill="background1" w:themeFillShade="D9"/>
            <w:noWrap/>
            <w:vAlign w:val="center"/>
            <w:hideMark/>
          </w:tcPr>
          <w:p w14:paraId="6F8B159E" w14:textId="01F38D9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-0,1</w:t>
            </w:r>
          </w:p>
        </w:tc>
        <w:tc>
          <w:tcPr>
            <w:tcW w:w="193" w:type="dxa"/>
            <w:shd w:val="clear" w:color="auto" w:fill="D9D9D9" w:themeFill="background1" w:themeFillShade="D9"/>
            <w:noWrap/>
            <w:vAlign w:val="center"/>
            <w:hideMark/>
          </w:tcPr>
          <w:p w14:paraId="45C9320E"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52920CE4" w14:textId="693709B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-0,3</w:t>
            </w:r>
          </w:p>
        </w:tc>
      </w:tr>
      <w:tr w:rsidR="00F77059" w:rsidRPr="003F6291" w14:paraId="6F4B34BB" w14:textId="77777777" w:rsidTr="00E3055E">
        <w:trPr>
          <w:trHeight w:val="247"/>
        </w:trPr>
        <w:tc>
          <w:tcPr>
            <w:tcW w:w="1869" w:type="dxa"/>
            <w:shd w:val="clear" w:color="auto" w:fill="auto"/>
            <w:noWrap/>
            <w:vAlign w:val="center"/>
            <w:hideMark/>
          </w:tcPr>
          <w:p w14:paraId="10DEB75B"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Femmine</w:t>
            </w:r>
          </w:p>
        </w:tc>
        <w:tc>
          <w:tcPr>
            <w:tcW w:w="193" w:type="dxa"/>
            <w:shd w:val="clear" w:color="auto" w:fill="auto"/>
            <w:noWrap/>
            <w:vAlign w:val="center"/>
            <w:hideMark/>
          </w:tcPr>
          <w:p w14:paraId="4B2CE8D6"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14ED3E39" w14:textId="494C7BC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1.273</w:t>
            </w:r>
          </w:p>
        </w:tc>
        <w:tc>
          <w:tcPr>
            <w:tcW w:w="768" w:type="dxa"/>
            <w:shd w:val="clear" w:color="auto" w:fill="auto"/>
            <w:noWrap/>
            <w:vAlign w:val="center"/>
            <w:hideMark/>
          </w:tcPr>
          <w:p w14:paraId="6C78DA6F" w14:textId="1AA7D9F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-22</w:t>
            </w:r>
          </w:p>
        </w:tc>
        <w:tc>
          <w:tcPr>
            <w:tcW w:w="799" w:type="dxa"/>
            <w:shd w:val="clear" w:color="auto" w:fill="F2F2F2" w:themeFill="background1" w:themeFillShade="F2"/>
            <w:noWrap/>
            <w:vAlign w:val="center"/>
            <w:hideMark/>
          </w:tcPr>
          <w:p w14:paraId="7360CA55" w14:textId="40FBC3E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-1,7</w:t>
            </w:r>
          </w:p>
        </w:tc>
        <w:tc>
          <w:tcPr>
            <w:tcW w:w="193" w:type="dxa"/>
            <w:shd w:val="clear" w:color="auto" w:fill="auto"/>
            <w:noWrap/>
            <w:vAlign w:val="center"/>
            <w:hideMark/>
          </w:tcPr>
          <w:p w14:paraId="633F226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0816B4B0" w14:textId="0EA9050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-84</w:t>
            </w:r>
          </w:p>
        </w:tc>
        <w:tc>
          <w:tcPr>
            <w:tcW w:w="725" w:type="dxa"/>
            <w:shd w:val="clear" w:color="auto" w:fill="F2F2F2" w:themeFill="background1" w:themeFillShade="F2"/>
            <w:noWrap/>
            <w:vAlign w:val="center"/>
            <w:hideMark/>
          </w:tcPr>
          <w:p w14:paraId="6A1E886B" w14:textId="052242B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-5,9</w:t>
            </w:r>
          </w:p>
        </w:tc>
        <w:tc>
          <w:tcPr>
            <w:tcW w:w="193" w:type="dxa"/>
            <w:shd w:val="clear" w:color="auto" w:fill="auto"/>
            <w:noWrap/>
            <w:vAlign w:val="center"/>
            <w:hideMark/>
          </w:tcPr>
          <w:p w14:paraId="306471D3"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186F7649" w14:textId="284DB66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11,5</w:t>
            </w:r>
          </w:p>
        </w:tc>
        <w:tc>
          <w:tcPr>
            <w:tcW w:w="1119" w:type="dxa"/>
            <w:shd w:val="clear" w:color="auto" w:fill="D9D9D9" w:themeFill="background1" w:themeFillShade="D9"/>
            <w:noWrap/>
            <w:vAlign w:val="center"/>
            <w:hideMark/>
          </w:tcPr>
          <w:p w14:paraId="07197EB4" w14:textId="4E9EA16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-0,2</w:t>
            </w:r>
          </w:p>
        </w:tc>
        <w:tc>
          <w:tcPr>
            <w:tcW w:w="193" w:type="dxa"/>
            <w:shd w:val="clear" w:color="auto" w:fill="D9D9D9" w:themeFill="background1" w:themeFillShade="D9"/>
            <w:noWrap/>
            <w:vAlign w:val="center"/>
            <w:hideMark/>
          </w:tcPr>
          <w:p w14:paraId="781E6AFF"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41FBADE6" w14:textId="27A0B04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-0,8</w:t>
            </w:r>
          </w:p>
        </w:tc>
      </w:tr>
      <w:tr w:rsidR="00F77059" w:rsidRPr="003F6291" w14:paraId="2FD90359" w14:textId="77777777" w:rsidTr="00E3055E">
        <w:trPr>
          <w:trHeight w:val="247"/>
        </w:trPr>
        <w:tc>
          <w:tcPr>
            <w:tcW w:w="1869" w:type="dxa"/>
            <w:shd w:val="clear" w:color="auto" w:fill="auto"/>
            <w:noWrap/>
            <w:vAlign w:val="center"/>
            <w:hideMark/>
          </w:tcPr>
          <w:p w14:paraId="3332E484"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Classi di età</w:t>
            </w:r>
          </w:p>
        </w:tc>
        <w:tc>
          <w:tcPr>
            <w:tcW w:w="193" w:type="dxa"/>
            <w:shd w:val="clear" w:color="auto" w:fill="auto"/>
            <w:noWrap/>
            <w:vAlign w:val="center"/>
            <w:hideMark/>
          </w:tcPr>
          <w:p w14:paraId="42757C16"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bottom"/>
            <w:hideMark/>
          </w:tcPr>
          <w:p w14:paraId="3026338E"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68" w:type="dxa"/>
            <w:shd w:val="clear" w:color="auto" w:fill="auto"/>
            <w:noWrap/>
            <w:vAlign w:val="bottom"/>
            <w:hideMark/>
          </w:tcPr>
          <w:p w14:paraId="4494A714"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99" w:type="dxa"/>
            <w:shd w:val="clear" w:color="auto" w:fill="F2F2F2" w:themeFill="background1" w:themeFillShade="F2"/>
            <w:noWrap/>
            <w:vAlign w:val="bottom"/>
            <w:hideMark/>
          </w:tcPr>
          <w:p w14:paraId="15DA719A"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7844D16C"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03230A1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25" w:type="dxa"/>
            <w:shd w:val="clear" w:color="auto" w:fill="F2F2F2" w:themeFill="background1" w:themeFillShade="F2"/>
            <w:noWrap/>
            <w:vAlign w:val="center"/>
            <w:hideMark/>
          </w:tcPr>
          <w:p w14:paraId="7246860B"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1691399B"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bottom"/>
            <w:hideMark/>
          </w:tcPr>
          <w:p w14:paraId="5C5B9F0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119" w:type="dxa"/>
            <w:shd w:val="clear" w:color="auto" w:fill="D9D9D9" w:themeFill="background1" w:themeFillShade="D9"/>
            <w:noWrap/>
            <w:vAlign w:val="bottom"/>
            <w:hideMark/>
          </w:tcPr>
          <w:p w14:paraId="41F11128"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D9D9D9" w:themeFill="background1" w:themeFillShade="D9"/>
            <w:noWrap/>
            <w:vAlign w:val="center"/>
            <w:hideMark/>
          </w:tcPr>
          <w:p w14:paraId="582C1328"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2DE7C764"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r>
      <w:tr w:rsidR="00F77059" w:rsidRPr="003F6291" w14:paraId="39205A6C" w14:textId="77777777" w:rsidTr="00E3055E">
        <w:trPr>
          <w:trHeight w:val="247"/>
        </w:trPr>
        <w:tc>
          <w:tcPr>
            <w:tcW w:w="1869" w:type="dxa"/>
            <w:shd w:val="clear" w:color="auto" w:fill="auto"/>
            <w:noWrap/>
            <w:vAlign w:val="center"/>
            <w:hideMark/>
          </w:tcPr>
          <w:p w14:paraId="336233C4"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15-34 anni</w:t>
            </w:r>
          </w:p>
        </w:tc>
        <w:tc>
          <w:tcPr>
            <w:tcW w:w="193" w:type="dxa"/>
            <w:shd w:val="clear" w:color="auto" w:fill="auto"/>
            <w:noWrap/>
            <w:vAlign w:val="center"/>
            <w:hideMark/>
          </w:tcPr>
          <w:p w14:paraId="5968B626"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2120C8BE" w14:textId="108C1FC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1.233</w:t>
            </w:r>
          </w:p>
        </w:tc>
        <w:tc>
          <w:tcPr>
            <w:tcW w:w="768" w:type="dxa"/>
            <w:shd w:val="clear" w:color="auto" w:fill="auto"/>
            <w:noWrap/>
            <w:vAlign w:val="center"/>
            <w:hideMark/>
          </w:tcPr>
          <w:p w14:paraId="01C1DAF2" w14:textId="42D318A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-36</w:t>
            </w:r>
          </w:p>
        </w:tc>
        <w:tc>
          <w:tcPr>
            <w:tcW w:w="799" w:type="dxa"/>
            <w:shd w:val="clear" w:color="auto" w:fill="F2F2F2" w:themeFill="background1" w:themeFillShade="F2"/>
            <w:noWrap/>
            <w:vAlign w:val="center"/>
            <w:hideMark/>
          </w:tcPr>
          <w:p w14:paraId="04F9390E" w14:textId="4E17563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-2,8</w:t>
            </w:r>
          </w:p>
        </w:tc>
        <w:tc>
          <w:tcPr>
            <w:tcW w:w="193" w:type="dxa"/>
            <w:shd w:val="clear" w:color="auto" w:fill="auto"/>
            <w:noWrap/>
            <w:vAlign w:val="center"/>
            <w:hideMark/>
          </w:tcPr>
          <w:p w14:paraId="680E77F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0E1D6A8A" w14:textId="5B82CAF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-62</w:t>
            </w:r>
          </w:p>
        </w:tc>
        <w:tc>
          <w:tcPr>
            <w:tcW w:w="725" w:type="dxa"/>
            <w:shd w:val="clear" w:color="auto" w:fill="F2F2F2" w:themeFill="background1" w:themeFillShade="F2"/>
            <w:noWrap/>
            <w:vAlign w:val="center"/>
            <w:hideMark/>
          </w:tcPr>
          <w:p w14:paraId="198CEF3A" w14:textId="074457A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-4,6</w:t>
            </w:r>
          </w:p>
        </w:tc>
        <w:tc>
          <w:tcPr>
            <w:tcW w:w="193" w:type="dxa"/>
            <w:shd w:val="clear" w:color="auto" w:fill="auto"/>
            <w:noWrap/>
            <w:vAlign w:val="center"/>
            <w:hideMark/>
          </w:tcPr>
          <w:p w14:paraId="4EC2354C"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0B838B6A" w14:textId="0EB9EAC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19,4</w:t>
            </w:r>
          </w:p>
        </w:tc>
        <w:tc>
          <w:tcPr>
            <w:tcW w:w="1119" w:type="dxa"/>
            <w:shd w:val="clear" w:color="auto" w:fill="D9D9D9" w:themeFill="background1" w:themeFillShade="D9"/>
            <w:noWrap/>
            <w:vAlign w:val="center"/>
            <w:hideMark/>
          </w:tcPr>
          <w:p w14:paraId="50881D13" w14:textId="3A1C7A4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c>
          <w:tcPr>
            <w:tcW w:w="193" w:type="dxa"/>
            <w:shd w:val="clear" w:color="auto" w:fill="D9D9D9" w:themeFill="background1" w:themeFillShade="D9"/>
            <w:noWrap/>
            <w:vAlign w:val="center"/>
            <w:hideMark/>
          </w:tcPr>
          <w:p w14:paraId="10D04B41"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21E3BEED" w14:textId="027CAD7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-0,9</w:t>
            </w:r>
          </w:p>
        </w:tc>
      </w:tr>
      <w:tr w:rsidR="00F77059" w:rsidRPr="003F6291" w14:paraId="08A8E176" w14:textId="77777777" w:rsidTr="00E3055E">
        <w:trPr>
          <w:trHeight w:val="247"/>
        </w:trPr>
        <w:tc>
          <w:tcPr>
            <w:tcW w:w="1869" w:type="dxa"/>
            <w:shd w:val="clear" w:color="auto" w:fill="auto"/>
            <w:noWrap/>
            <w:vAlign w:val="center"/>
            <w:hideMark/>
          </w:tcPr>
          <w:p w14:paraId="2939B049"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35-49 anni</w:t>
            </w:r>
          </w:p>
        </w:tc>
        <w:tc>
          <w:tcPr>
            <w:tcW w:w="193" w:type="dxa"/>
            <w:shd w:val="clear" w:color="auto" w:fill="auto"/>
            <w:noWrap/>
            <w:vAlign w:val="center"/>
            <w:hideMark/>
          </w:tcPr>
          <w:p w14:paraId="252CAC33"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3DD6E589" w14:textId="204E732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910</w:t>
            </w:r>
          </w:p>
        </w:tc>
        <w:tc>
          <w:tcPr>
            <w:tcW w:w="768" w:type="dxa"/>
            <w:shd w:val="clear" w:color="auto" w:fill="auto"/>
            <w:noWrap/>
            <w:vAlign w:val="center"/>
            <w:hideMark/>
          </w:tcPr>
          <w:p w14:paraId="78309DC5" w14:textId="5E3E4E10"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w:t>
            </w:r>
          </w:p>
        </w:tc>
        <w:tc>
          <w:tcPr>
            <w:tcW w:w="799" w:type="dxa"/>
            <w:shd w:val="clear" w:color="auto" w:fill="F2F2F2" w:themeFill="background1" w:themeFillShade="F2"/>
            <w:noWrap/>
            <w:vAlign w:val="center"/>
            <w:hideMark/>
          </w:tcPr>
          <w:p w14:paraId="7C218912" w14:textId="6517A77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c>
          <w:tcPr>
            <w:tcW w:w="193" w:type="dxa"/>
            <w:shd w:val="clear" w:color="auto" w:fill="auto"/>
            <w:noWrap/>
            <w:vAlign w:val="center"/>
            <w:hideMark/>
          </w:tcPr>
          <w:p w14:paraId="2D94772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33AB86CE" w14:textId="1B3BDBD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-82</w:t>
            </w:r>
          </w:p>
        </w:tc>
        <w:tc>
          <w:tcPr>
            <w:tcW w:w="725" w:type="dxa"/>
            <w:shd w:val="clear" w:color="auto" w:fill="F2F2F2" w:themeFill="background1" w:themeFillShade="F2"/>
            <w:noWrap/>
            <w:vAlign w:val="center"/>
            <w:hideMark/>
          </w:tcPr>
          <w:p w14:paraId="565F67CC" w14:textId="285035B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-7,6</w:t>
            </w:r>
          </w:p>
        </w:tc>
        <w:tc>
          <w:tcPr>
            <w:tcW w:w="193" w:type="dxa"/>
            <w:shd w:val="clear" w:color="auto" w:fill="auto"/>
            <w:noWrap/>
            <w:vAlign w:val="center"/>
            <w:hideMark/>
          </w:tcPr>
          <w:p w14:paraId="251DEA9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07BD1812" w14:textId="44C7347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8,7</w:t>
            </w:r>
          </w:p>
        </w:tc>
        <w:tc>
          <w:tcPr>
            <w:tcW w:w="1119" w:type="dxa"/>
            <w:shd w:val="clear" w:color="auto" w:fill="D9D9D9" w:themeFill="background1" w:themeFillShade="D9"/>
            <w:noWrap/>
            <w:vAlign w:val="center"/>
            <w:hideMark/>
          </w:tcPr>
          <w:p w14:paraId="7C511804" w14:textId="0ADCC8D4"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4E135B78"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57A8FAC3" w14:textId="54D8BF45"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r>
      <w:tr w:rsidR="00F77059" w:rsidRPr="003F6291" w14:paraId="70AEED2E" w14:textId="77777777" w:rsidTr="00E3055E">
        <w:trPr>
          <w:trHeight w:val="247"/>
        </w:trPr>
        <w:tc>
          <w:tcPr>
            <w:tcW w:w="1869" w:type="dxa"/>
            <w:shd w:val="clear" w:color="auto" w:fill="auto"/>
            <w:noWrap/>
            <w:vAlign w:val="center"/>
            <w:hideMark/>
          </w:tcPr>
          <w:p w14:paraId="51DE1E71"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50 anni e oltre (*)</w:t>
            </w:r>
          </w:p>
        </w:tc>
        <w:tc>
          <w:tcPr>
            <w:tcW w:w="193" w:type="dxa"/>
            <w:shd w:val="clear" w:color="auto" w:fill="auto"/>
            <w:noWrap/>
            <w:vAlign w:val="center"/>
            <w:hideMark/>
          </w:tcPr>
          <w:p w14:paraId="5142C631"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09BA2A49" w14:textId="09402DB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559</w:t>
            </w:r>
          </w:p>
        </w:tc>
        <w:tc>
          <w:tcPr>
            <w:tcW w:w="768" w:type="dxa"/>
            <w:shd w:val="clear" w:color="auto" w:fill="auto"/>
            <w:noWrap/>
            <w:vAlign w:val="center"/>
            <w:hideMark/>
          </w:tcPr>
          <w:p w14:paraId="45F4D5E3" w14:textId="0A085710"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w:t>
            </w:r>
          </w:p>
        </w:tc>
        <w:tc>
          <w:tcPr>
            <w:tcW w:w="799" w:type="dxa"/>
            <w:shd w:val="clear" w:color="auto" w:fill="F2F2F2" w:themeFill="background1" w:themeFillShade="F2"/>
            <w:noWrap/>
            <w:vAlign w:val="center"/>
            <w:hideMark/>
          </w:tcPr>
          <w:p w14:paraId="5CBE351D" w14:textId="1DF1D97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-0,4</w:t>
            </w:r>
          </w:p>
        </w:tc>
        <w:tc>
          <w:tcPr>
            <w:tcW w:w="193" w:type="dxa"/>
            <w:shd w:val="clear" w:color="auto" w:fill="auto"/>
            <w:noWrap/>
            <w:vAlign w:val="center"/>
            <w:hideMark/>
          </w:tcPr>
          <w:p w14:paraId="0808769A"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47BA95FC" w14:textId="1B3EFC8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w:t>
            </w:r>
          </w:p>
        </w:tc>
        <w:tc>
          <w:tcPr>
            <w:tcW w:w="725" w:type="dxa"/>
            <w:shd w:val="clear" w:color="auto" w:fill="F2F2F2" w:themeFill="background1" w:themeFillShade="F2"/>
            <w:noWrap/>
            <w:vAlign w:val="center"/>
            <w:hideMark/>
          </w:tcPr>
          <w:p w14:paraId="5C18CC8C" w14:textId="2E5BB346"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0,9</w:t>
            </w:r>
          </w:p>
        </w:tc>
        <w:tc>
          <w:tcPr>
            <w:tcW w:w="193" w:type="dxa"/>
            <w:shd w:val="clear" w:color="auto" w:fill="auto"/>
            <w:noWrap/>
            <w:vAlign w:val="center"/>
            <w:hideMark/>
          </w:tcPr>
          <w:p w14:paraId="3E6BF53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4EAA4CF0" w14:textId="104EC6F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6,1</w:t>
            </w:r>
          </w:p>
        </w:tc>
        <w:tc>
          <w:tcPr>
            <w:tcW w:w="1119" w:type="dxa"/>
            <w:shd w:val="clear" w:color="auto" w:fill="D9D9D9" w:themeFill="background1" w:themeFillShade="D9"/>
            <w:noWrap/>
            <w:vAlign w:val="center"/>
            <w:hideMark/>
          </w:tcPr>
          <w:p w14:paraId="765681DB" w14:textId="2773C71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6FC0934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49DE4FF9" w14:textId="6B509545"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-0,1</w:t>
            </w:r>
          </w:p>
        </w:tc>
      </w:tr>
      <w:tr w:rsidR="00BC71C9" w:rsidRPr="003F6291" w14:paraId="74D081D8" w14:textId="77777777" w:rsidTr="00CE3490">
        <w:trPr>
          <w:trHeight w:val="247"/>
        </w:trPr>
        <w:tc>
          <w:tcPr>
            <w:tcW w:w="1869" w:type="dxa"/>
            <w:shd w:val="clear" w:color="auto" w:fill="323E4F" w:themeFill="text2" w:themeFillShade="BF"/>
            <w:noWrap/>
            <w:vAlign w:val="center"/>
            <w:hideMark/>
          </w:tcPr>
          <w:p w14:paraId="01CDE2DE" w14:textId="77777777" w:rsidR="00BC71C9" w:rsidRPr="003F6291" w:rsidRDefault="00BC71C9" w:rsidP="00D34956">
            <w:pPr>
              <w:spacing w:after="0"/>
              <w:rPr>
                <w:rFonts w:ascii="Arial Narrow" w:hAnsi="Arial Narrow"/>
                <w:b/>
                <w:bCs/>
                <w:sz w:val="17"/>
                <w:szCs w:val="17"/>
                <w:lang w:eastAsia="it-IT"/>
              </w:rPr>
            </w:pPr>
          </w:p>
        </w:tc>
        <w:tc>
          <w:tcPr>
            <w:tcW w:w="193" w:type="dxa"/>
            <w:shd w:val="clear" w:color="auto" w:fill="323E4F" w:themeFill="text2" w:themeFillShade="BF"/>
            <w:noWrap/>
            <w:vAlign w:val="center"/>
            <w:hideMark/>
          </w:tcPr>
          <w:p w14:paraId="52851A5E" w14:textId="77777777" w:rsidR="00BC71C9" w:rsidRPr="003F6291" w:rsidRDefault="00BC71C9" w:rsidP="00D34956">
            <w:pPr>
              <w:spacing w:after="0"/>
              <w:rPr>
                <w:rFonts w:ascii="Arial Narrow" w:hAnsi="Arial Narrow"/>
                <w:b/>
                <w:bCs/>
                <w:sz w:val="17"/>
                <w:szCs w:val="17"/>
                <w:lang w:eastAsia="it-IT"/>
              </w:rPr>
            </w:pPr>
          </w:p>
        </w:tc>
        <w:tc>
          <w:tcPr>
            <w:tcW w:w="4348" w:type="dxa"/>
            <w:gridSpan w:val="6"/>
            <w:shd w:val="clear" w:color="auto" w:fill="323E4F" w:themeFill="text2" w:themeFillShade="BF"/>
            <w:noWrap/>
            <w:vAlign w:val="center"/>
            <w:hideMark/>
          </w:tcPr>
          <w:p w14:paraId="57515912" w14:textId="77777777" w:rsidR="00BC71C9" w:rsidRPr="003F6291" w:rsidRDefault="00BC71C9" w:rsidP="00D34956">
            <w:pPr>
              <w:spacing w:after="0"/>
              <w:jc w:val="center"/>
              <w:rPr>
                <w:rFonts w:ascii="Arial Narrow" w:hAnsi="Arial Narrow"/>
                <w:b/>
                <w:bCs/>
                <w:sz w:val="17"/>
                <w:szCs w:val="17"/>
                <w:lang w:eastAsia="it-IT"/>
              </w:rPr>
            </w:pPr>
            <w:r w:rsidRPr="003F6291">
              <w:rPr>
                <w:rFonts w:ascii="Arial Narrow" w:hAnsi="Arial Narrow"/>
                <w:b/>
                <w:bCs/>
                <w:sz w:val="17"/>
                <w:szCs w:val="17"/>
                <w:lang w:eastAsia="it-IT"/>
              </w:rPr>
              <w:t>Inattivi 15-64 anni</w:t>
            </w:r>
          </w:p>
        </w:tc>
        <w:tc>
          <w:tcPr>
            <w:tcW w:w="193" w:type="dxa"/>
            <w:shd w:val="clear" w:color="auto" w:fill="323E4F" w:themeFill="text2" w:themeFillShade="BF"/>
            <w:noWrap/>
            <w:vAlign w:val="center"/>
            <w:hideMark/>
          </w:tcPr>
          <w:p w14:paraId="66D2FEF9" w14:textId="77777777" w:rsidR="00BC71C9" w:rsidRPr="003F6291" w:rsidRDefault="00BC71C9" w:rsidP="00D34956">
            <w:pPr>
              <w:spacing w:after="0"/>
              <w:rPr>
                <w:rFonts w:ascii="Arial Narrow" w:hAnsi="Arial Narrow"/>
                <w:b/>
                <w:bCs/>
                <w:sz w:val="17"/>
                <w:szCs w:val="17"/>
                <w:lang w:eastAsia="it-IT"/>
              </w:rPr>
            </w:pPr>
          </w:p>
        </w:tc>
        <w:tc>
          <w:tcPr>
            <w:tcW w:w="3056" w:type="dxa"/>
            <w:gridSpan w:val="4"/>
            <w:shd w:val="clear" w:color="auto" w:fill="323E4F" w:themeFill="text2" w:themeFillShade="BF"/>
            <w:noWrap/>
            <w:vAlign w:val="center"/>
            <w:hideMark/>
          </w:tcPr>
          <w:p w14:paraId="478C84D4" w14:textId="77777777" w:rsidR="00BC71C9" w:rsidRPr="003F6291" w:rsidRDefault="00BC71C9" w:rsidP="00D34956">
            <w:pPr>
              <w:spacing w:after="0"/>
              <w:jc w:val="center"/>
              <w:rPr>
                <w:rFonts w:ascii="Arial Narrow" w:hAnsi="Arial Narrow"/>
                <w:b/>
                <w:bCs/>
                <w:sz w:val="17"/>
                <w:szCs w:val="17"/>
                <w:lang w:eastAsia="it-IT"/>
              </w:rPr>
            </w:pPr>
            <w:r w:rsidRPr="003F6291">
              <w:rPr>
                <w:rFonts w:ascii="Arial Narrow" w:hAnsi="Arial Narrow"/>
                <w:b/>
                <w:bCs/>
                <w:sz w:val="17"/>
                <w:szCs w:val="17"/>
                <w:lang w:eastAsia="it-IT"/>
              </w:rPr>
              <w:t>Tasso di inattività 15-64 anni</w:t>
            </w:r>
          </w:p>
        </w:tc>
      </w:tr>
      <w:tr w:rsidR="00F77059" w:rsidRPr="003F6291" w14:paraId="62F15712" w14:textId="77777777" w:rsidTr="00E3055E">
        <w:trPr>
          <w:trHeight w:val="102"/>
        </w:trPr>
        <w:tc>
          <w:tcPr>
            <w:tcW w:w="1869" w:type="dxa"/>
            <w:shd w:val="clear" w:color="auto" w:fill="auto"/>
            <w:noWrap/>
            <w:vAlign w:val="center"/>
            <w:hideMark/>
          </w:tcPr>
          <w:p w14:paraId="7E122A95"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Totale</w:t>
            </w:r>
          </w:p>
        </w:tc>
        <w:tc>
          <w:tcPr>
            <w:tcW w:w="193" w:type="dxa"/>
            <w:shd w:val="clear" w:color="auto" w:fill="auto"/>
            <w:noWrap/>
            <w:vAlign w:val="center"/>
            <w:hideMark/>
          </w:tcPr>
          <w:p w14:paraId="19F8A4B8"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center"/>
            <w:hideMark/>
          </w:tcPr>
          <w:p w14:paraId="72D3F3CB" w14:textId="0876A913"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13.213</w:t>
            </w:r>
          </w:p>
        </w:tc>
        <w:tc>
          <w:tcPr>
            <w:tcW w:w="768" w:type="dxa"/>
            <w:shd w:val="clear" w:color="auto" w:fill="auto"/>
            <w:noWrap/>
            <w:vAlign w:val="center"/>
            <w:hideMark/>
          </w:tcPr>
          <w:p w14:paraId="483CA17D" w14:textId="179DEF36"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-14</w:t>
            </w:r>
          </w:p>
        </w:tc>
        <w:tc>
          <w:tcPr>
            <w:tcW w:w="799" w:type="dxa"/>
            <w:shd w:val="clear" w:color="auto" w:fill="F2F2F2" w:themeFill="background1" w:themeFillShade="F2"/>
            <w:noWrap/>
            <w:vAlign w:val="center"/>
            <w:hideMark/>
          </w:tcPr>
          <w:p w14:paraId="590C2415" w14:textId="7FE89138"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-0,1</w:t>
            </w:r>
          </w:p>
        </w:tc>
        <w:tc>
          <w:tcPr>
            <w:tcW w:w="193" w:type="dxa"/>
            <w:shd w:val="clear" w:color="auto" w:fill="auto"/>
            <w:noWrap/>
            <w:vAlign w:val="center"/>
            <w:hideMark/>
          </w:tcPr>
          <w:p w14:paraId="41D11424"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709" w:type="dxa"/>
            <w:shd w:val="clear" w:color="auto" w:fill="auto"/>
            <w:noWrap/>
            <w:vAlign w:val="center"/>
            <w:hideMark/>
          </w:tcPr>
          <w:p w14:paraId="0CFE931B" w14:textId="6EF89315"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-130</w:t>
            </w:r>
          </w:p>
        </w:tc>
        <w:tc>
          <w:tcPr>
            <w:tcW w:w="725" w:type="dxa"/>
            <w:shd w:val="clear" w:color="auto" w:fill="F2F2F2" w:themeFill="background1" w:themeFillShade="F2"/>
            <w:noWrap/>
            <w:vAlign w:val="center"/>
            <w:hideMark/>
          </w:tcPr>
          <w:p w14:paraId="1D5E271C" w14:textId="277FC19C"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-1,0</w:t>
            </w:r>
          </w:p>
        </w:tc>
        <w:tc>
          <w:tcPr>
            <w:tcW w:w="193" w:type="dxa"/>
            <w:shd w:val="clear" w:color="auto" w:fill="auto"/>
            <w:noWrap/>
            <w:vAlign w:val="center"/>
            <w:hideMark/>
          </w:tcPr>
          <w:p w14:paraId="400F2EC5"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650" w:type="dxa"/>
            <w:shd w:val="clear" w:color="auto" w:fill="D9D9D9" w:themeFill="background1" w:themeFillShade="D9"/>
            <w:noWrap/>
            <w:vAlign w:val="center"/>
            <w:hideMark/>
          </w:tcPr>
          <w:p w14:paraId="21820DFD" w14:textId="27DCDA5D"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34,3</w:t>
            </w:r>
          </w:p>
        </w:tc>
        <w:tc>
          <w:tcPr>
            <w:tcW w:w="1119" w:type="dxa"/>
            <w:shd w:val="clear" w:color="auto" w:fill="D9D9D9" w:themeFill="background1" w:themeFillShade="D9"/>
            <w:noWrap/>
            <w:vAlign w:val="center"/>
            <w:hideMark/>
          </w:tcPr>
          <w:p w14:paraId="155F7542" w14:textId="6AE153E2"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0,0</w:t>
            </w:r>
          </w:p>
        </w:tc>
        <w:tc>
          <w:tcPr>
            <w:tcW w:w="193" w:type="dxa"/>
            <w:shd w:val="clear" w:color="auto" w:fill="D9D9D9" w:themeFill="background1" w:themeFillShade="D9"/>
            <w:noWrap/>
            <w:vAlign w:val="center"/>
            <w:hideMark/>
          </w:tcPr>
          <w:p w14:paraId="0A22305C" w14:textId="777777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p>
        </w:tc>
        <w:tc>
          <w:tcPr>
            <w:tcW w:w="1094" w:type="dxa"/>
            <w:shd w:val="clear" w:color="auto" w:fill="D9D9D9" w:themeFill="background1" w:themeFillShade="D9"/>
            <w:noWrap/>
            <w:vAlign w:val="center"/>
            <w:hideMark/>
          </w:tcPr>
          <w:p w14:paraId="5CA5E28E" w14:textId="21475E77" w:rsidR="00F77059" w:rsidRPr="00BE1190" w:rsidRDefault="00F77059" w:rsidP="00F77059">
            <w:pPr>
              <w:autoSpaceDE w:val="0"/>
              <w:autoSpaceDN w:val="0"/>
              <w:adjustRightInd w:val="0"/>
              <w:spacing w:after="0"/>
              <w:jc w:val="right"/>
              <w:rPr>
                <w:rFonts w:ascii="Arial Narrow" w:hAnsi="Arial Narrow" w:cs="Arial Narrow"/>
                <w:b/>
                <w:bCs/>
                <w:color w:val="000000"/>
                <w:sz w:val="17"/>
                <w:szCs w:val="17"/>
              </w:rPr>
            </w:pPr>
            <w:r w:rsidRPr="00BE1190">
              <w:rPr>
                <w:rFonts w:ascii="Arial Narrow" w:hAnsi="Arial Narrow" w:cs="Arial"/>
                <w:b/>
                <w:bCs/>
                <w:sz w:val="17"/>
                <w:szCs w:val="17"/>
              </w:rPr>
              <w:t>-0,2</w:t>
            </w:r>
          </w:p>
        </w:tc>
      </w:tr>
      <w:tr w:rsidR="00F77059" w:rsidRPr="003F6291" w14:paraId="3DEA13CC" w14:textId="77777777" w:rsidTr="00E3055E">
        <w:trPr>
          <w:trHeight w:val="247"/>
        </w:trPr>
        <w:tc>
          <w:tcPr>
            <w:tcW w:w="1869" w:type="dxa"/>
            <w:shd w:val="clear" w:color="auto" w:fill="auto"/>
            <w:noWrap/>
            <w:vAlign w:val="center"/>
            <w:hideMark/>
          </w:tcPr>
          <w:p w14:paraId="5FA6468C"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Genere</w:t>
            </w:r>
          </w:p>
        </w:tc>
        <w:tc>
          <w:tcPr>
            <w:tcW w:w="193" w:type="dxa"/>
            <w:shd w:val="clear" w:color="auto" w:fill="auto"/>
            <w:noWrap/>
            <w:vAlign w:val="center"/>
            <w:hideMark/>
          </w:tcPr>
          <w:p w14:paraId="08ED501D"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center"/>
            <w:hideMark/>
          </w:tcPr>
          <w:p w14:paraId="1327278E"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68" w:type="dxa"/>
            <w:shd w:val="clear" w:color="auto" w:fill="auto"/>
            <w:noWrap/>
            <w:vAlign w:val="center"/>
            <w:hideMark/>
          </w:tcPr>
          <w:p w14:paraId="60251CD8"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99" w:type="dxa"/>
            <w:shd w:val="clear" w:color="auto" w:fill="F2F2F2" w:themeFill="background1" w:themeFillShade="F2"/>
            <w:noWrap/>
            <w:vAlign w:val="center"/>
            <w:hideMark/>
          </w:tcPr>
          <w:p w14:paraId="0AD07565"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7A345EE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4628F0F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25" w:type="dxa"/>
            <w:shd w:val="clear" w:color="auto" w:fill="F2F2F2" w:themeFill="background1" w:themeFillShade="F2"/>
            <w:noWrap/>
            <w:vAlign w:val="center"/>
            <w:hideMark/>
          </w:tcPr>
          <w:p w14:paraId="2BB15773"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auto"/>
            <w:noWrap/>
            <w:vAlign w:val="center"/>
            <w:hideMark/>
          </w:tcPr>
          <w:p w14:paraId="4D74AC3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0FFED6B4"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119" w:type="dxa"/>
            <w:shd w:val="clear" w:color="auto" w:fill="D9D9D9" w:themeFill="background1" w:themeFillShade="D9"/>
            <w:noWrap/>
            <w:vAlign w:val="center"/>
            <w:hideMark/>
          </w:tcPr>
          <w:p w14:paraId="3E7F7761"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93" w:type="dxa"/>
            <w:shd w:val="clear" w:color="auto" w:fill="D9D9D9" w:themeFill="background1" w:themeFillShade="D9"/>
            <w:noWrap/>
            <w:vAlign w:val="center"/>
            <w:hideMark/>
          </w:tcPr>
          <w:p w14:paraId="3B13A2B9"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7B566EEA"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r>
      <w:tr w:rsidR="00F77059" w:rsidRPr="003F6291" w14:paraId="3C595443" w14:textId="77777777" w:rsidTr="00E3055E">
        <w:trPr>
          <w:trHeight w:val="247"/>
        </w:trPr>
        <w:tc>
          <w:tcPr>
            <w:tcW w:w="1869" w:type="dxa"/>
            <w:shd w:val="clear" w:color="auto" w:fill="auto"/>
            <w:noWrap/>
            <w:vAlign w:val="center"/>
            <w:hideMark/>
          </w:tcPr>
          <w:p w14:paraId="58065EA3"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Maschi</w:t>
            </w:r>
          </w:p>
        </w:tc>
        <w:tc>
          <w:tcPr>
            <w:tcW w:w="193" w:type="dxa"/>
            <w:shd w:val="clear" w:color="auto" w:fill="auto"/>
            <w:noWrap/>
            <w:vAlign w:val="center"/>
            <w:hideMark/>
          </w:tcPr>
          <w:p w14:paraId="076971C7"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733E9B9C" w14:textId="74731E2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4.804</w:t>
            </w:r>
          </w:p>
        </w:tc>
        <w:tc>
          <w:tcPr>
            <w:tcW w:w="768" w:type="dxa"/>
            <w:shd w:val="clear" w:color="auto" w:fill="auto"/>
            <w:noWrap/>
            <w:vAlign w:val="center"/>
            <w:hideMark/>
          </w:tcPr>
          <w:p w14:paraId="43E491FA" w14:textId="1FEFFDD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15</w:t>
            </w:r>
          </w:p>
        </w:tc>
        <w:tc>
          <w:tcPr>
            <w:tcW w:w="799" w:type="dxa"/>
            <w:shd w:val="clear" w:color="auto" w:fill="F2F2F2" w:themeFill="background1" w:themeFillShade="F2"/>
            <w:noWrap/>
            <w:vAlign w:val="center"/>
            <w:hideMark/>
          </w:tcPr>
          <w:p w14:paraId="32C109A6" w14:textId="0ED3DD9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0,3</w:t>
            </w:r>
          </w:p>
        </w:tc>
        <w:tc>
          <w:tcPr>
            <w:tcW w:w="193" w:type="dxa"/>
            <w:shd w:val="clear" w:color="auto" w:fill="auto"/>
            <w:noWrap/>
            <w:vAlign w:val="center"/>
            <w:hideMark/>
          </w:tcPr>
          <w:p w14:paraId="329BF96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24BAAA13" w14:textId="362827E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-23</w:t>
            </w:r>
          </w:p>
        </w:tc>
        <w:tc>
          <w:tcPr>
            <w:tcW w:w="725" w:type="dxa"/>
            <w:shd w:val="clear" w:color="auto" w:fill="F2F2F2" w:themeFill="background1" w:themeFillShade="F2"/>
            <w:noWrap/>
            <w:vAlign w:val="center"/>
            <w:hideMark/>
          </w:tcPr>
          <w:p w14:paraId="281B5858" w14:textId="6D83299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-0,5</w:t>
            </w:r>
          </w:p>
        </w:tc>
        <w:tc>
          <w:tcPr>
            <w:tcW w:w="193" w:type="dxa"/>
            <w:shd w:val="clear" w:color="auto" w:fill="auto"/>
            <w:noWrap/>
            <w:vAlign w:val="center"/>
            <w:hideMark/>
          </w:tcPr>
          <w:p w14:paraId="3C18FFB6"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2616B77E" w14:textId="4B7CF3B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25,0</w:t>
            </w:r>
          </w:p>
        </w:tc>
        <w:tc>
          <w:tcPr>
            <w:tcW w:w="1119" w:type="dxa"/>
            <w:shd w:val="clear" w:color="auto" w:fill="D9D9D9" w:themeFill="background1" w:themeFillShade="D9"/>
            <w:noWrap/>
            <w:vAlign w:val="center"/>
            <w:hideMark/>
          </w:tcPr>
          <w:p w14:paraId="508A3676" w14:textId="488007D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0,1</w:t>
            </w:r>
          </w:p>
        </w:tc>
        <w:tc>
          <w:tcPr>
            <w:tcW w:w="193" w:type="dxa"/>
            <w:shd w:val="clear" w:color="auto" w:fill="D9D9D9" w:themeFill="background1" w:themeFillShade="D9"/>
            <w:noWrap/>
            <w:vAlign w:val="center"/>
            <w:hideMark/>
          </w:tcPr>
          <w:p w14:paraId="615836F7"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1041835E" w14:textId="5B1C242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r>
      <w:tr w:rsidR="00F77059" w:rsidRPr="003F6291" w14:paraId="0A7C35E3" w14:textId="77777777" w:rsidTr="00E3055E">
        <w:trPr>
          <w:trHeight w:val="247"/>
        </w:trPr>
        <w:tc>
          <w:tcPr>
            <w:tcW w:w="1869" w:type="dxa"/>
            <w:shd w:val="clear" w:color="auto" w:fill="auto"/>
            <w:noWrap/>
            <w:vAlign w:val="center"/>
            <w:hideMark/>
          </w:tcPr>
          <w:p w14:paraId="4A026123"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Femmine</w:t>
            </w:r>
          </w:p>
        </w:tc>
        <w:tc>
          <w:tcPr>
            <w:tcW w:w="193" w:type="dxa"/>
            <w:shd w:val="clear" w:color="auto" w:fill="auto"/>
            <w:noWrap/>
            <w:vAlign w:val="center"/>
            <w:hideMark/>
          </w:tcPr>
          <w:p w14:paraId="58554A8A"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5B196D44" w14:textId="687C0C8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8.410</w:t>
            </w:r>
          </w:p>
        </w:tc>
        <w:tc>
          <w:tcPr>
            <w:tcW w:w="768" w:type="dxa"/>
            <w:shd w:val="clear" w:color="auto" w:fill="auto"/>
            <w:noWrap/>
            <w:vAlign w:val="center"/>
            <w:hideMark/>
          </w:tcPr>
          <w:p w14:paraId="7981C16F" w14:textId="59FA6DC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-29</w:t>
            </w:r>
          </w:p>
        </w:tc>
        <w:tc>
          <w:tcPr>
            <w:tcW w:w="799" w:type="dxa"/>
            <w:shd w:val="clear" w:color="auto" w:fill="F2F2F2" w:themeFill="background1" w:themeFillShade="F2"/>
            <w:noWrap/>
            <w:vAlign w:val="center"/>
            <w:hideMark/>
          </w:tcPr>
          <w:p w14:paraId="01E6C992" w14:textId="541A986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-0,3</w:t>
            </w:r>
          </w:p>
        </w:tc>
        <w:tc>
          <w:tcPr>
            <w:tcW w:w="193" w:type="dxa"/>
            <w:shd w:val="clear" w:color="auto" w:fill="auto"/>
            <w:noWrap/>
            <w:vAlign w:val="center"/>
            <w:hideMark/>
          </w:tcPr>
          <w:p w14:paraId="0DCF9E77"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70FEE617" w14:textId="185819B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-108</w:t>
            </w:r>
          </w:p>
        </w:tc>
        <w:tc>
          <w:tcPr>
            <w:tcW w:w="725" w:type="dxa"/>
            <w:shd w:val="clear" w:color="auto" w:fill="F2F2F2" w:themeFill="background1" w:themeFillShade="F2"/>
            <w:noWrap/>
            <w:vAlign w:val="center"/>
            <w:hideMark/>
          </w:tcPr>
          <w:p w14:paraId="7DCDED4C" w14:textId="57C6ECB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-1,3</w:t>
            </w:r>
          </w:p>
        </w:tc>
        <w:tc>
          <w:tcPr>
            <w:tcW w:w="193" w:type="dxa"/>
            <w:shd w:val="clear" w:color="auto" w:fill="auto"/>
            <w:noWrap/>
            <w:vAlign w:val="center"/>
            <w:hideMark/>
          </w:tcPr>
          <w:p w14:paraId="601580DB"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33FD4254" w14:textId="5B56C20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43,6</w:t>
            </w:r>
          </w:p>
        </w:tc>
        <w:tc>
          <w:tcPr>
            <w:tcW w:w="1119" w:type="dxa"/>
            <w:shd w:val="clear" w:color="auto" w:fill="D9D9D9" w:themeFill="background1" w:themeFillShade="D9"/>
            <w:noWrap/>
            <w:vAlign w:val="center"/>
            <w:hideMark/>
          </w:tcPr>
          <w:p w14:paraId="15E65228" w14:textId="04AC7E5C"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-0,1</w:t>
            </w:r>
          </w:p>
        </w:tc>
        <w:tc>
          <w:tcPr>
            <w:tcW w:w="193" w:type="dxa"/>
            <w:shd w:val="clear" w:color="auto" w:fill="D9D9D9" w:themeFill="background1" w:themeFillShade="D9"/>
            <w:noWrap/>
            <w:vAlign w:val="center"/>
            <w:hideMark/>
          </w:tcPr>
          <w:p w14:paraId="3FEA8081"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2250A2A4" w14:textId="6894444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-0,4</w:t>
            </w:r>
          </w:p>
        </w:tc>
      </w:tr>
      <w:tr w:rsidR="00F77059" w:rsidRPr="003F6291" w14:paraId="00DE89B5" w14:textId="77777777" w:rsidTr="00E3055E">
        <w:trPr>
          <w:trHeight w:val="247"/>
        </w:trPr>
        <w:tc>
          <w:tcPr>
            <w:tcW w:w="1869" w:type="dxa"/>
            <w:shd w:val="clear" w:color="auto" w:fill="auto"/>
            <w:noWrap/>
            <w:vAlign w:val="center"/>
            <w:hideMark/>
          </w:tcPr>
          <w:p w14:paraId="5A2C03CE" w14:textId="77777777" w:rsidR="00F77059" w:rsidRPr="003F6291" w:rsidRDefault="00F77059" w:rsidP="00F77059">
            <w:pPr>
              <w:spacing w:after="0"/>
              <w:rPr>
                <w:rFonts w:ascii="Arial Narrow" w:hAnsi="Arial Narrow"/>
                <w:b/>
                <w:bCs/>
                <w:sz w:val="17"/>
                <w:szCs w:val="17"/>
                <w:lang w:eastAsia="it-IT"/>
              </w:rPr>
            </w:pPr>
            <w:r w:rsidRPr="003F6291">
              <w:rPr>
                <w:rFonts w:ascii="Arial Narrow" w:hAnsi="Arial Narrow"/>
                <w:b/>
                <w:bCs/>
                <w:sz w:val="17"/>
                <w:szCs w:val="17"/>
                <w:lang w:eastAsia="it-IT"/>
              </w:rPr>
              <w:t>Classi di età</w:t>
            </w:r>
          </w:p>
        </w:tc>
        <w:tc>
          <w:tcPr>
            <w:tcW w:w="193" w:type="dxa"/>
            <w:shd w:val="clear" w:color="auto" w:fill="auto"/>
            <w:noWrap/>
            <w:vAlign w:val="center"/>
            <w:hideMark/>
          </w:tcPr>
          <w:p w14:paraId="659AD478" w14:textId="77777777" w:rsidR="00F77059" w:rsidRPr="003F6291" w:rsidRDefault="00F77059" w:rsidP="00F77059">
            <w:pPr>
              <w:spacing w:after="0"/>
              <w:rPr>
                <w:rFonts w:ascii="Arial Narrow" w:hAnsi="Arial Narrow"/>
                <w:b/>
                <w:bCs/>
                <w:sz w:val="17"/>
                <w:szCs w:val="17"/>
                <w:lang w:eastAsia="it-IT"/>
              </w:rPr>
            </w:pPr>
          </w:p>
        </w:tc>
        <w:tc>
          <w:tcPr>
            <w:tcW w:w="1154" w:type="dxa"/>
            <w:shd w:val="clear" w:color="auto" w:fill="F2F2F2" w:themeFill="background1" w:themeFillShade="F2"/>
            <w:noWrap/>
            <w:vAlign w:val="bottom"/>
            <w:hideMark/>
          </w:tcPr>
          <w:p w14:paraId="7FD5E93D" w14:textId="77777777" w:rsidR="00F77059" w:rsidRPr="00BE1190" w:rsidRDefault="00F77059" w:rsidP="00F77059"/>
        </w:tc>
        <w:tc>
          <w:tcPr>
            <w:tcW w:w="768" w:type="dxa"/>
            <w:shd w:val="clear" w:color="auto" w:fill="auto"/>
            <w:noWrap/>
            <w:vAlign w:val="bottom"/>
            <w:hideMark/>
          </w:tcPr>
          <w:p w14:paraId="4C61CDB5" w14:textId="77777777" w:rsidR="00F77059" w:rsidRPr="00BE1190" w:rsidRDefault="00F77059" w:rsidP="00F77059"/>
        </w:tc>
        <w:tc>
          <w:tcPr>
            <w:tcW w:w="799" w:type="dxa"/>
            <w:shd w:val="clear" w:color="auto" w:fill="F2F2F2" w:themeFill="background1" w:themeFillShade="F2"/>
            <w:noWrap/>
            <w:vAlign w:val="bottom"/>
            <w:hideMark/>
          </w:tcPr>
          <w:p w14:paraId="5F1D7F08" w14:textId="77777777" w:rsidR="00F77059" w:rsidRPr="00BE1190" w:rsidRDefault="00F77059" w:rsidP="00F77059"/>
        </w:tc>
        <w:tc>
          <w:tcPr>
            <w:tcW w:w="193" w:type="dxa"/>
            <w:shd w:val="clear" w:color="auto" w:fill="auto"/>
            <w:noWrap/>
            <w:vAlign w:val="center"/>
            <w:hideMark/>
          </w:tcPr>
          <w:p w14:paraId="099F2D6D" w14:textId="77777777" w:rsidR="00F77059" w:rsidRPr="00BE1190" w:rsidRDefault="00F77059" w:rsidP="00F77059"/>
        </w:tc>
        <w:tc>
          <w:tcPr>
            <w:tcW w:w="709" w:type="dxa"/>
            <w:shd w:val="clear" w:color="auto" w:fill="auto"/>
            <w:noWrap/>
            <w:vAlign w:val="center"/>
            <w:hideMark/>
          </w:tcPr>
          <w:p w14:paraId="3A9E6811" w14:textId="77777777" w:rsidR="00F77059" w:rsidRPr="00BE1190" w:rsidRDefault="00F77059" w:rsidP="00F77059"/>
        </w:tc>
        <w:tc>
          <w:tcPr>
            <w:tcW w:w="725" w:type="dxa"/>
            <w:shd w:val="clear" w:color="auto" w:fill="F2F2F2" w:themeFill="background1" w:themeFillShade="F2"/>
            <w:noWrap/>
            <w:vAlign w:val="center"/>
            <w:hideMark/>
          </w:tcPr>
          <w:p w14:paraId="6A0B3A3A" w14:textId="77777777" w:rsidR="00F77059" w:rsidRPr="00BE1190" w:rsidRDefault="00F77059" w:rsidP="00F77059"/>
        </w:tc>
        <w:tc>
          <w:tcPr>
            <w:tcW w:w="193" w:type="dxa"/>
            <w:shd w:val="clear" w:color="auto" w:fill="auto"/>
            <w:noWrap/>
            <w:vAlign w:val="center"/>
            <w:hideMark/>
          </w:tcPr>
          <w:p w14:paraId="4BC5AC0B" w14:textId="77777777" w:rsidR="00F77059" w:rsidRPr="00BE1190" w:rsidRDefault="00F77059" w:rsidP="00F77059"/>
        </w:tc>
        <w:tc>
          <w:tcPr>
            <w:tcW w:w="650" w:type="dxa"/>
            <w:shd w:val="clear" w:color="auto" w:fill="D9D9D9" w:themeFill="background1" w:themeFillShade="D9"/>
            <w:noWrap/>
            <w:vAlign w:val="bottom"/>
            <w:hideMark/>
          </w:tcPr>
          <w:p w14:paraId="79660E30" w14:textId="77777777" w:rsidR="00F77059" w:rsidRPr="00BE1190" w:rsidRDefault="00F77059" w:rsidP="00F77059"/>
        </w:tc>
        <w:tc>
          <w:tcPr>
            <w:tcW w:w="1119" w:type="dxa"/>
            <w:shd w:val="clear" w:color="auto" w:fill="D9D9D9" w:themeFill="background1" w:themeFillShade="D9"/>
            <w:noWrap/>
            <w:vAlign w:val="bottom"/>
            <w:hideMark/>
          </w:tcPr>
          <w:p w14:paraId="5B3B52BA" w14:textId="77777777" w:rsidR="00F77059" w:rsidRPr="00BE1190" w:rsidRDefault="00F77059" w:rsidP="00F77059"/>
        </w:tc>
        <w:tc>
          <w:tcPr>
            <w:tcW w:w="193" w:type="dxa"/>
            <w:shd w:val="clear" w:color="auto" w:fill="D9D9D9" w:themeFill="background1" w:themeFillShade="D9"/>
            <w:noWrap/>
            <w:vAlign w:val="center"/>
            <w:hideMark/>
          </w:tcPr>
          <w:p w14:paraId="0DE19D30" w14:textId="77777777" w:rsidR="00F77059" w:rsidRPr="00BE1190" w:rsidRDefault="00F77059" w:rsidP="00F77059"/>
        </w:tc>
        <w:tc>
          <w:tcPr>
            <w:tcW w:w="1094" w:type="dxa"/>
            <w:shd w:val="clear" w:color="auto" w:fill="D9D9D9" w:themeFill="background1" w:themeFillShade="D9"/>
            <w:noWrap/>
            <w:vAlign w:val="center"/>
            <w:hideMark/>
          </w:tcPr>
          <w:p w14:paraId="2357F855" w14:textId="77777777" w:rsidR="00F77059" w:rsidRPr="00BE1190" w:rsidRDefault="00F77059" w:rsidP="00F77059"/>
        </w:tc>
      </w:tr>
      <w:tr w:rsidR="00F77059" w:rsidRPr="003F6291" w14:paraId="0F117384" w14:textId="77777777" w:rsidTr="00E3055E">
        <w:trPr>
          <w:trHeight w:val="247"/>
        </w:trPr>
        <w:tc>
          <w:tcPr>
            <w:tcW w:w="1869" w:type="dxa"/>
            <w:shd w:val="clear" w:color="auto" w:fill="auto"/>
            <w:noWrap/>
            <w:vAlign w:val="center"/>
            <w:hideMark/>
          </w:tcPr>
          <w:p w14:paraId="74559A66"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15-34 anni</w:t>
            </w:r>
          </w:p>
        </w:tc>
        <w:tc>
          <w:tcPr>
            <w:tcW w:w="193" w:type="dxa"/>
            <w:shd w:val="clear" w:color="auto" w:fill="auto"/>
            <w:noWrap/>
            <w:vAlign w:val="center"/>
            <w:hideMark/>
          </w:tcPr>
          <w:p w14:paraId="13113D5C"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176BAC7E" w14:textId="25F9B87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6.069</w:t>
            </w:r>
          </w:p>
        </w:tc>
        <w:tc>
          <w:tcPr>
            <w:tcW w:w="768" w:type="dxa"/>
            <w:shd w:val="clear" w:color="auto" w:fill="auto"/>
            <w:noWrap/>
            <w:vAlign w:val="center"/>
            <w:hideMark/>
          </w:tcPr>
          <w:p w14:paraId="18C52ED9" w14:textId="00F4B4B0"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-24</w:t>
            </w:r>
          </w:p>
        </w:tc>
        <w:tc>
          <w:tcPr>
            <w:tcW w:w="799" w:type="dxa"/>
            <w:shd w:val="clear" w:color="auto" w:fill="F2F2F2" w:themeFill="background1" w:themeFillShade="F2"/>
            <w:noWrap/>
            <w:vAlign w:val="center"/>
            <w:hideMark/>
          </w:tcPr>
          <w:p w14:paraId="5FA302D6" w14:textId="78FAFCA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-0,4</w:t>
            </w:r>
          </w:p>
        </w:tc>
        <w:tc>
          <w:tcPr>
            <w:tcW w:w="193" w:type="dxa"/>
            <w:shd w:val="clear" w:color="auto" w:fill="auto"/>
            <w:noWrap/>
            <w:vAlign w:val="center"/>
            <w:hideMark/>
          </w:tcPr>
          <w:p w14:paraId="0BB0BAF0"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160051F2" w14:textId="446397F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-37</w:t>
            </w:r>
          </w:p>
        </w:tc>
        <w:tc>
          <w:tcPr>
            <w:tcW w:w="725" w:type="dxa"/>
            <w:shd w:val="clear" w:color="auto" w:fill="F2F2F2" w:themeFill="background1" w:themeFillShade="F2"/>
            <w:noWrap/>
            <w:vAlign w:val="center"/>
            <w:hideMark/>
          </w:tcPr>
          <w:p w14:paraId="255472B4" w14:textId="2899EEA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c>
          <w:tcPr>
            <w:tcW w:w="193" w:type="dxa"/>
            <w:shd w:val="clear" w:color="auto" w:fill="auto"/>
            <w:noWrap/>
            <w:vAlign w:val="center"/>
            <w:hideMark/>
          </w:tcPr>
          <w:p w14:paraId="33C1294D"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145A3482" w14:textId="4BE91A85"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48,8</w:t>
            </w:r>
          </w:p>
        </w:tc>
        <w:tc>
          <w:tcPr>
            <w:tcW w:w="1119" w:type="dxa"/>
            <w:shd w:val="clear" w:color="auto" w:fill="D9D9D9" w:themeFill="background1" w:themeFillShade="D9"/>
            <w:noWrap/>
            <w:vAlign w:val="center"/>
            <w:hideMark/>
          </w:tcPr>
          <w:p w14:paraId="639D2848" w14:textId="6F3E5B88"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-0,1</w:t>
            </w:r>
          </w:p>
        </w:tc>
        <w:tc>
          <w:tcPr>
            <w:tcW w:w="193" w:type="dxa"/>
            <w:shd w:val="clear" w:color="auto" w:fill="D9D9D9" w:themeFill="background1" w:themeFillShade="D9"/>
            <w:noWrap/>
            <w:vAlign w:val="center"/>
            <w:hideMark/>
          </w:tcPr>
          <w:p w14:paraId="1F1F2FD2"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0A7A40B7" w14:textId="300E4B0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r>
      <w:tr w:rsidR="00F77059" w:rsidRPr="003F6291" w14:paraId="4A62E0C8" w14:textId="77777777" w:rsidTr="00E3055E">
        <w:trPr>
          <w:trHeight w:val="247"/>
        </w:trPr>
        <w:tc>
          <w:tcPr>
            <w:tcW w:w="1869" w:type="dxa"/>
            <w:shd w:val="clear" w:color="auto" w:fill="auto"/>
            <w:noWrap/>
            <w:vAlign w:val="center"/>
            <w:hideMark/>
          </w:tcPr>
          <w:p w14:paraId="2B8949EC"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35-49 anni</w:t>
            </w:r>
          </w:p>
        </w:tc>
        <w:tc>
          <w:tcPr>
            <w:tcW w:w="193" w:type="dxa"/>
            <w:shd w:val="clear" w:color="auto" w:fill="auto"/>
            <w:noWrap/>
            <w:vAlign w:val="center"/>
            <w:hideMark/>
          </w:tcPr>
          <w:p w14:paraId="4CE5BAB3" w14:textId="77777777" w:rsidR="00F77059" w:rsidRPr="003F6291" w:rsidRDefault="00F77059" w:rsidP="00F77059">
            <w:pPr>
              <w:spacing w:after="0"/>
              <w:rPr>
                <w:rFonts w:ascii="Arial Narrow" w:hAnsi="Arial Narrow"/>
                <w:sz w:val="17"/>
                <w:szCs w:val="17"/>
                <w:lang w:eastAsia="it-IT"/>
              </w:rPr>
            </w:pPr>
          </w:p>
        </w:tc>
        <w:tc>
          <w:tcPr>
            <w:tcW w:w="1154" w:type="dxa"/>
            <w:shd w:val="clear" w:color="auto" w:fill="F2F2F2" w:themeFill="background1" w:themeFillShade="F2"/>
            <w:noWrap/>
            <w:vAlign w:val="center"/>
            <w:hideMark/>
          </w:tcPr>
          <w:p w14:paraId="2438484F" w14:textId="21365110"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2.511</w:t>
            </w:r>
          </w:p>
        </w:tc>
        <w:tc>
          <w:tcPr>
            <w:tcW w:w="768" w:type="dxa"/>
            <w:shd w:val="clear" w:color="auto" w:fill="auto"/>
            <w:noWrap/>
            <w:vAlign w:val="center"/>
            <w:hideMark/>
          </w:tcPr>
          <w:p w14:paraId="1E3ACC07" w14:textId="4E3D42B2"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-13</w:t>
            </w:r>
          </w:p>
        </w:tc>
        <w:tc>
          <w:tcPr>
            <w:tcW w:w="799" w:type="dxa"/>
            <w:shd w:val="clear" w:color="auto" w:fill="F2F2F2" w:themeFill="background1" w:themeFillShade="F2"/>
            <w:noWrap/>
            <w:vAlign w:val="center"/>
            <w:hideMark/>
          </w:tcPr>
          <w:p w14:paraId="50B1ED67" w14:textId="3BB14C5B"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-0,5</w:t>
            </w:r>
          </w:p>
        </w:tc>
        <w:tc>
          <w:tcPr>
            <w:tcW w:w="193" w:type="dxa"/>
            <w:shd w:val="clear" w:color="auto" w:fill="auto"/>
            <w:noWrap/>
            <w:vAlign w:val="center"/>
            <w:hideMark/>
          </w:tcPr>
          <w:p w14:paraId="54ED5F7C"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709" w:type="dxa"/>
            <w:shd w:val="clear" w:color="auto" w:fill="auto"/>
            <w:noWrap/>
            <w:vAlign w:val="center"/>
            <w:hideMark/>
          </w:tcPr>
          <w:p w14:paraId="3174F46F" w14:textId="58816CFE"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-98</w:t>
            </w:r>
          </w:p>
        </w:tc>
        <w:tc>
          <w:tcPr>
            <w:tcW w:w="725" w:type="dxa"/>
            <w:shd w:val="clear" w:color="auto" w:fill="F2F2F2" w:themeFill="background1" w:themeFillShade="F2"/>
            <w:noWrap/>
            <w:vAlign w:val="center"/>
            <w:hideMark/>
          </w:tcPr>
          <w:p w14:paraId="6ED21EBD" w14:textId="2E09E5A4"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-3,7</w:t>
            </w:r>
          </w:p>
        </w:tc>
        <w:tc>
          <w:tcPr>
            <w:tcW w:w="193" w:type="dxa"/>
            <w:shd w:val="clear" w:color="auto" w:fill="auto"/>
            <w:noWrap/>
            <w:vAlign w:val="center"/>
            <w:hideMark/>
          </w:tcPr>
          <w:p w14:paraId="0DF21F64"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650" w:type="dxa"/>
            <w:shd w:val="clear" w:color="auto" w:fill="D9D9D9" w:themeFill="background1" w:themeFillShade="D9"/>
            <w:noWrap/>
            <w:vAlign w:val="center"/>
            <w:hideMark/>
          </w:tcPr>
          <w:p w14:paraId="1CAAF401" w14:textId="54A8015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19,4</w:t>
            </w:r>
          </w:p>
        </w:tc>
        <w:tc>
          <w:tcPr>
            <w:tcW w:w="1119" w:type="dxa"/>
            <w:shd w:val="clear" w:color="auto" w:fill="D9D9D9" w:themeFill="background1" w:themeFillShade="D9"/>
            <w:noWrap/>
            <w:vAlign w:val="center"/>
            <w:hideMark/>
          </w:tcPr>
          <w:p w14:paraId="655F9870" w14:textId="6C020A7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1F67E4DE" w14:textId="77777777"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p>
        </w:tc>
        <w:tc>
          <w:tcPr>
            <w:tcW w:w="1094" w:type="dxa"/>
            <w:shd w:val="clear" w:color="auto" w:fill="D9D9D9" w:themeFill="background1" w:themeFillShade="D9"/>
            <w:noWrap/>
            <w:vAlign w:val="center"/>
            <w:hideMark/>
          </w:tcPr>
          <w:p w14:paraId="6FC3ECDE" w14:textId="54B8A0B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-0,3</w:t>
            </w:r>
          </w:p>
        </w:tc>
      </w:tr>
      <w:tr w:rsidR="00F77059" w:rsidRPr="003F6291" w14:paraId="70738C92" w14:textId="77777777" w:rsidTr="00E3055E">
        <w:trPr>
          <w:trHeight w:val="61"/>
        </w:trPr>
        <w:tc>
          <w:tcPr>
            <w:tcW w:w="1869" w:type="dxa"/>
            <w:shd w:val="clear" w:color="auto" w:fill="auto"/>
            <w:noWrap/>
            <w:vAlign w:val="center"/>
            <w:hideMark/>
          </w:tcPr>
          <w:p w14:paraId="4E56344B"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50-64 anni</w:t>
            </w:r>
          </w:p>
        </w:tc>
        <w:tc>
          <w:tcPr>
            <w:tcW w:w="193" w:type="dxa"/>
            <w:shd w:val="clear" w:color="auto" w:fill="auto"/>
            <w:noWrap/>
            <w:vAlign w:val="center"/>
            <w:hideMark/>
          </w:tcPr>
          <w:p w14:paraId="5C2100B4" w14:textId="77777777" w:rsidR="00F77059" w:rsidRPr="003F6291" w:rsidRDefault="00F77059" w:rsidP="00F77059">
            <w:pPr>
              <w:spacing w:after="0"/>
              <w:rPr>
                <w:rFonts w:ascii="Arial Narrow" w:hAnsi="Arial Narrow"/>
                <w:sz w:val="17"/>
                <w:szCs w:val="17"/>
                <w:lang w:eastAsia="it-IT"/>
              </w:rPr>
            </w:pPr>
            <w:r w:rsidRPr="003F6291">
              <w:rPr>
                <w:rFonts w:ascii="Arial Narrow" w:hAnsi="Arial Narrow"/>
                <w:sz w:val="17"/>
                <w:szCs w:val="17"/>
                <w:lang w:eastAsia="it-IT"/>
              </w:rPr>
              <w:t> </w:t>
            </w:r>
          </w:p>
        </w:tc>
        <w:tc>
          <w:tcPr>
            <w:tcW w:w="1154" w:type="dxa"/>
            <w:shd w:val="clear" w:color="auto" w:fill="F2F2F2" w:themeFill="background1" w:themeFillShade="F2"/>
            <w:noWrap/>
            <w:vAlign w:val="center"/>
            <w:hideMark/>
          </w:tcPr>
          <w:p w14:paraId="7924E2F6" w14:textId="0F9F8D8A"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4.633</w:t>
            </w:r>
          </w:p>
        </w:tc>
        <w:tc>
          <w:tcPr>
            <w:tcW w:w="768" w:type="dxa"/>
            <w:shd w:val="clear" w:color="auto" w:fill="auto"/>
            <w:noWrap/>
            <w:vAlign w:val="center"/>
            <w:hideMark/>
          </w:tcPr>
          <w:p w14:paraId="1723F4F3" w14:textId="2D1D437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23</w:t>
            </w:r>
          </w:p>
        </w:tc>
        <w:tc>
          <w:tcPr>
            <w:tcW w:w="799" w:type="dxa"/>
            <w:shd w:val="clear" w:color="auto" w:fill="F2F2F2" w:themeFill="background1" w:themeFillShade="F2"/>
            <w:noWrap/>
            <w:vAlign w:val="center"/>
            <w:hideMark/>
          </w:tcPr>
          <w:p w14:paraId="5978D23C" w14:textId="5FC031EF"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0,5</w:t>
            </w:r>
          </w:p>
        </w:tc>
        <w:tc>
          <w:tcPr>
            <w:tcW w:w="193" w:type="dxa"/>
            <w:shd w:val="clear" w:color="auto" w:fill="auto"/>
            <w:noWrap/>
            <w:vAlign w:val="center"/>
            <w:hideMark/>
          </w:tcPr>
          <w:p w14:paraId="0B263E56" w14:textId="5B36CBF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 </w:t>
            </w:r>
          </w:p>
        </w:tc>
        <w:tc>
          <w:tcPr>
            <w:tcW w:w="709" w:type="dxa"/>
            <w:shd w:val="clear" w:color="auto" w:fill="auto"/>
            <w:noWrap/>
            <w:vAlign w:val="center"/>
            <w:hideMark/>
          </w:tcPr>
          <w:p w14:paraId="55322A5B" w14:textId="77F5BD4F"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5</w:t>
            </w:r>
          </w:p>
        </w:tc>
        <w:tc>
          <w:tcPr>
            <w:tcW w:w="725" w:type="dxa"/>
            <w:shd w:val="clear" w:color="auto" w:fill="F2F2F2" w:themeFill="background1" w:themeFillShade="F2"/>
            <w:noWrap/>
            <w:vAlign w:val="center"/>
            <w:hideMark/>
          </w:tcPr>
          <w:p w14:paraId="008FB8FC" w14:textId="42065794"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0,1</w:t>
            </w:r>
          </w:p>
        </w:tc>
        <w:tc>
          <w:tcPr>
            <w:tcW w:w="193" w:type="dxa"/>
            <w:shd w:val="clear" w:color="auto" w:fill="auto"/>
            <w:noWrap/>
            <w:vAlign w:val="center"/>
            <w:hideMark/>
          </w:tcPr>
          <w:p w14:paraId="24B83972" w14:textId="198FB54D"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 </w:t>
            </w:r>
          </w:p>
        </w:tc>
        <w:tc>
          <w:tcPr>
            <w:tcW w:w="650" w:type="dxa"/>
            <w:shd w:val="clear" w:color="auto" w:fill="D9D9D9" w:themeFill="background1" w:themeFillShade="D9"/>
            <w:noWrap/>
            <w:vAlign w:val="center"/>
            <w:hideMark/>
          </w:tcPr>
          <w:p w14:paraId="4A809019" w14:textId="4230EAC9"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35,4</w:t>
            </w:r>
          </w:p>
        </w:tc>
        <w:tc>
          <w:tcPr>
            <w:tcW w:w="1119" w:type="dxa"/>
            <w:shd w:val="clear" w:color="auto" w:fill="D9D9D9" w:themeFill="background1" w:themeFillShade="D9"/>
            <w:noWrap/>
            <w:vAlign w:val="center"/>
            <w:hideMark/>
          </w:tcPr>
          <w:p w14:paraId="4124F193" w14:textId="0490096F"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0,0</w:t>
            </w:r>
          </w:p>
        </w:tc>
        <w:tc>
          <w:tcPr>
            <w:tcW w:w="193" w:type="dxa"/>
            <w:shd w:val="clear" w:color="auto" w:fill="D9D9D9" w:themeFill="background1" w:themeFillShade="D9"/>
            <w:noWrap/>
            <w:vAlign w:val="center"/>
            <w:hideMark/>
          </w:tcPr>
          <w:p w14:paraId="41547882" w14:textId="74F37C33"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 </w:t>
            </w:r>
          </w:p>
        </w:tc>
        <w:tc>
          <w:tcPr>
            <w:tcW w:w="1094" w:type="dxa"/>
            <w:shd w:val="clear" w:color="auto" w:fill="D9D9D9" w:themeFill="background1" w:themeFillShade="D9"/>
            <w:noWrap/>
            <w:vAlign w:val="center"/>
            <w:hideMark/>
          </w:tcPr>
          <w:p w14:paraId="609FE07A" w14:textId="1896CBB1" w:rsidR="00F77059" w:rsidRPr="00BE1190" w:rsidRDefault="00F77059" w:rsidP="00F77059">
            <w:pPr>
              <w:autoSpaceDE w:val="0"/>
              <w:autoSpaceDN w:val="0"/>
              <w:adjustRightInd w:val="0"/>
              <w:spacing w:after="0"/>
              <w:jc w:val="right"/>
              <w:rPr>
                <w:rFonts w:ascii="Arial Narrow" w:hAnsi="Arial Narrow" w:cs="Arial Narrow"/>
                <w:bCs/>
                <w:color w:val="000000"/>
                <w:sz w:val="17"/>
                <w:szCs w:val="17"/>
              </w:rPr>
            </w:pPr>
            <w:r w:rsidRPr="00BE1190">
              <w:rPr>
                <w:rFonts w:ascii="Arial Narrow" w:hAnsi="Arial Narrow" w:cs="Arial"/>
                <w:sz w:val="17"/>
                <w:szCs w:val="17"/>
              </w:rPr>
              <w:t>-0,6</w:t>
            </w:r>
          </w:p>
        </w:tc>
      </w:tr>
    </w:tbl>
    <w:p w14:paraId="1BE4BE98" w14:textId="77777777" w:rsidR="00BC71C9" w:rsidRPr="003F6291" w:rsidRDefault="00BC71C9" w:rsidP="00CE3490">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kern w:val="28"/>
          <w:sz w:val="15"/>
          <w:szCs w:val="15"/>
        </w:rPr>
      </w:pPr>
      <w:r w:rsidRPr="003F6291">
        <w:rPr>
          <w:rFonts w:ascii="Arial Narrow" w:hAnsi="Arial Narrow" w:cs="Arial"/>
          <w:kern w:val="28"/>
          <w:sz w:val="15"/>
          <w:szCs w:val="15"/>
        </w:rPr>
        <w:t>(*) per i tassi di occupazione e di disoccupazione la classe di età è 50-64 anni</w:t>
      </w:r>
    </w:p>
    <w:p w14:paraId="317082F2" w14:textId="77777777" w:rsidR="00BC71C9" w:rsidRPr="003F6291" w:rsidRDefault="00BC71C9" w:rsidP="00BC71C9">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rPr>
          <w:rFonts w:ascii="Arial Narrow" w:hAnsi="Arial Narrow" w:cs="Arial"/>
          <w:i/>
          <w:kern w:val="28"/>
          <w:sz w:val="15"/>
          <w:szCs w:val="15"/>
        </w:rPr>
      </w:pPr>
      <w:r w:rsidRPr="003F6291">
        <w:rPr>
          <w:rFonts w:ascii="Arial Narrow" w:hAnsi="Arial Narrow" w:cs="Arial"/>
          <w:i/>
          <w:kern w:val="28"/>
          <w:sz w:val="15"/>
          <w:szCs w:val="15"/>
        </w:rPr>
        <w:t>Fonte: Istat. Rilevazione sulle forze di lavoro</w:t>
      </w:r>
    </w:p>
    <w:p w14:paraId="445C3A75" w14:textId="77777777" w:rsidR="00BC71C9" w:rsidRPr="003F6291" w:rsidRDefault="00BC71C9" w:rsidP="00BC71C9">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rPr>
          <w:rFonts w:ascii="Arial Narrow" w:hAnsi="Arial Narrow" w:cs="Arial"/>
          <w:i/>
          <w:kern w:val="28"/>
          <w:sz w:val="15"/>
          <w:szCs w:val="15"/>
        </w:rPr>
      </w:pPr>
    </w:p>
    <w:p w14:paraId="213B6B5B" w14:textId="77777777" w:rsidR="00BC71C9" w:rsidRPr="003F6291" w:rsidRDefault="00BC71C9" w:rsidP="00BC71C9">
      <w:pPr>
        <w:autoSpaceDE w:val="0"/>
        <w:autoSpaceDN w:val="0"/>
        <w:adjustRightInd w:val="0"/>
        <w:spacing w:after="0"/>
        <w:jc w:val="right"/>
        <w:rPr>
          <w:rFonts w:ascii="Arial Narrow" w:hAnsi="Arial Narrow" w:cs="Arial"/>
          <w:kern w:val="28"/>
          <w:sz w:val="2"/>
          <w:szCs w:val="15"/>
        </w:rPr>
      </w:pPr>
    </w:p>
    <w:p w14:paraId="37017318" w14:textId="639508BC" w:rsidR="00554040" w:rsidRPr="00F10BA6" w:rsidRDefault="00C47B7D" w:rsidP="00C47B7D">
      <w:pPr>
        <w:spacing w:after="0"/>
        <w:rPr>
          <w:rFonts w:cs="Arial"/>
          <w:szCs w:val="20"/>
        </w:rPr>
      </w:pPr>
      <w:r w:rsidRPr="00BE1190">
        <w:rPr>
          <w:rFonts w:cs="Arial"/>
          <w:szCs w:val="20"/>
        </w:rPr>
        <w:t>L</w:t>
      </w:r>
      <w:r w:rsidR="000E4F2C" w:rsidRPr="00BE1190">
        <w:rPr>
          <w:rFonts w:cs="Arial"/>
          <w:szCs w:val="20"/>
        </w:rPr>
        <w:t>’</w:t>
      </w:r>
      <w:r w:rsidRPr="00BE1190">
        <w:rPr>
          <w:rFonts w:cs="Arial"/>
          <w:szCs w:val="20"/>
        </w:rPr>
        <w:t>a</w:t>
      </w:r>
      <w:r w:rsidR="000E4F2C" w:rsidRPr="00BE1190">
        <w:rPr>
          <w:rFonts w:cs="Arial"/>
          <w:szCs w:val="20"/>
        </w:rPr>
        <w:t>umento</w:t>
      </w:r>
      <w:r w:rsidRPr="00BE1190">
        <w:rPr>
          <w:rFonts w:cs="Arial"/>
          <w:szCs w:val="20"/>
        </w:rPr>
        <w:t xml:space="preserve"> </w:t>
      </w:r>
      <w:r w:rsidR="000E4F2C" w:rsidRPr="00BE1190">
        <w:rPr>
          <w:rFonts w:cs="Arial"/>
          <w:szCs w:val="20"/>
        </w:rPr>
        <w:t>congiunturale</w:t>
      </w:r>
      <w:r w:rsidRPr="00BE1190">
        <w:rPr>
          <w:rFonts w:cs="Arial"/>
          <w:szCs w:val="20"/>
        </w:rPr>
        <w:t xml:space="preserve"> dell’occupazione </w:t>
      </w:r>
      <w:r w:rsidR="000E4F2C" w:rsidRPr="00BE1190">
        <w:rPr>
          <w:rFonts w:cs="Arial"/>
          <w:szCs w:val="20"/>
        </w:rPr>
        <w:t xml:space="preserve">e del relativo tasso </w:t>
      </w:r>
      <w:r w:rsidR="00B6743E" w:rsidRPr="00BE1190">
        <w:rPr>
          <w:rFonts w:cs="Arial"/>
          <w:szCs w:val="20"/>
        </w:rPr>
        <w:t xml:space="preserve">riguarda </w:t>
      </w:r>
      <w:r w:rsidR="000E4F2C" w:rsidRPr="00BE1190">
        <w:rPr>
          <w:rFonts w:cs="Arial"/>
          <w:szCs w:val="20"/>
        </w:rPr>
        <w:t>soltanto le donne</w:t>
      </w:r>
      <w:r w:rsidR="00C329BD" w:rsidRPr="00BE1190">
        <w:rPr>
          <w:rFonts w:cs="Arial"/>
          <w:szCs w:val="20"/>
        </w:rPr>
        <w:t xml:space="preserve">, in confronto alla stabilità </w:t>
      </w:r>
      <w:r w:rsidR="000E4F2C" w:rsidRPr="00BE1190">
        <w:rPr>
          <w:rFonts w:cs="Arial"/>
          <w:szCs w:val="20"/>
        </w:rPr>
        <w:t>per gli uomini</w:t>
      </w:r>
      <w:r w:rsidR="00B772D3" w:rsidRPr="00BE1190">
        <w:rPr>
          <w:rFonts w:cs="Arial"/>
          <w:szCs w:val="20"/>
        </w:rPr>
        <w:t xml:space="preserve">; in termini tendenziali invece il miglioramento dell’occupazione sia nei valori assoluti sia nel tasso </w:t>
      </w:r>
      <w:r w:rsidR="000E4F2C" w:rsidRPr="00BE1190">
        <w:rPr>
          <w:rFonts w:cs="Arial"/>
          <w:szCs w:val="20"/>
        </w:rPr>
        <w:t>interessa</w:t>
      </w:r>
      <w:r w:rsidR="00C329BD" w:rsidRPr="00BE1190">
        <w:rPr>
          <w:rFonts w:cs="Arial"/>
          <w:szCs w:val="20"/>
        </w:rPr>
        <w:t xml:space="preserve"> e</w:t>
      </w:r>
      <w:r w:rsidR="0037477F" w:rsidRPr="00BE1190">
        <w:rPr>
          <w:rFonts w:cs="Arial"/>
          <w:szCs w:val="20"/>
        </w:rPr>
        <w:t>ntrambe le componenti di genere</w:t>
      </w:r>
      <w:r w:rsidR="000E4F2C" w:rsidRPr="00BE1190">
        <w:rPr>
          <w:rFonts w:cs="Arial"/>
          <w:szCs w:val="20"/>
        </w:rPr>
        <w:t>, seppur con diversa intensità</w:t>
      </w:r>
      <w:r w:rsidR="00310574" w:rsidRPr="00BE1190">
        <w:rPr>
          <w:rFonts w:cs="Arial"/>
          <w:szCs w:val="20"/>
        </w:rPr>
        <w:t>. L</w:t>
      </w:r>
      <w:r w:rsidR="000E4F2C" w:rsidRPr="00BE1190">
        <w:rPr>
          <w:rFonts w:cs="Arial"/>
          <w:szCs w:val="20"/>
        </w:rPr>
        <w:t xml:space="preserve">a diminuzione </w:t>
      </w:r>
      <w:r w:rsidR="00310574" w:rsidRPr="00BE1190">
        <w:rPr>
          <w:rFonts w:cs="Arial"/>
          <w:szCs w:val="20"/>
        </w:rPr>
        <w:lastRenderedPageBreak/>
        <w:t>congiunturale del numero di disoccupati e del tasso di disoccupazione è pressoché analogo per uomini e</w:t>
      </w:r>
      <w:r w:rsidR="00310574">
        <w:rPr>
          <w:rFonts w:cs="Arial"/>
          <w:szCs w:val="20"/>
        </w:rPr>
        <w:t xml:space="preserve"> </w:t>
      </w:r>
      <w:r w:rsidR="00310574" w:rsidRPr="00F10BA6">
        <w:rPr>
          <w:rFonts w:cs="Arial"/>
          <w:szCs w:val="20"/>
        </w:rPr>
        <w:t xml:space="preserve">donne mentre il </w:t>
      </w:r>
      <w:r w:rsidR="00B5532F" w:rsidRPr="00F10BA6">
        <w:rPr>
          <w:rFonts w:cs="Arial"/>
          <w:szCs w:val="20"/>
        </w:rPr>
        <w:t>calo</w:t>
      </w:r>
      <w:r w:rsidR="00310574" w:rsidRPr="00F10BA6">
        <w:rPr>
          <w:rFonts w:cs="Arial"/>
          <w:szCs w:val="20"/>
        </w:rPr>
        <w:t xml:space="preserve"> in confronto a un anno prima è più accentuato per </w:t>
      </w:r>
      <w:r w:rsidR="000E4F2C" w:rsidRPr="00F10BA6">
        <w:rPr>
          <w:rFonts w:cs="Arial"/>
          <w:szCs w:val="20"/>
        </w:rPr>
        <w:t>la componente femminile</w:t>
      </w:r>
      <w:r w:rsidR="00310574" w:rsidRPr="00F10BA6">
        <w:rPr>
          <w:rFonts w:cs="Arial"/>
          <w:szCs w:val="20"/>
        </w:rPr>
        <w:t>.</w:t>
      </w:r>
      <w:r w:rsidR="00554040" w:rsidRPr="00F10BA6">
        <w:rPr>
          <w:rFonts w:cs="Arial"/>
          <w:szCs w:val="20"/>
        </w:rPr>
        <w:t xml:space="preserve"> Il numero di inattivi di 15-64 anni in termini congiunturali diminuisce per le donne e aumenta per gli uomini mentre nel tendenziale cala </w:t>
      </w:r>
      <w:r w:rsidR="008021B9">
        <w:rPr>
          <w:rFonts w:cs="Arial"/>
          <w:szCs w:val="20"/>
        </w:rPr>
        <w:t>in misura più accentuata per la componente femminile</w:t>
      </w:r>
      <w:r w:rsidR="00554040" w:rsidRPr="00F10BA6">
        <w:rPr>
          <w:rFonts w:cs="Arial"/>
          <w:szCs w:val="20"/>
        </w:rPr>
        <w:t xml:space="preserve">; il tasso di inattività </w:t>
      </w:r>
      <w:r w:rsidR="0055018A" w:rsidRPr="00F10BA6">
        <w:rPr>
          <w:rFonts w:cs="Arial"/>
          <w:szCs w:val="20"/>
        </w:rPr>
        <w:t>per le donne diminuisce in entrambi i confronti mentre per gli uomini aumenta rispetto al trimestre precedente e rimane stabile su base annua.</w:t>
      </w:r>
    </w:p>
    <w:p w14:paraId="55406A21" w14:textId="7EB7D832" w:rsidR="0065341A" w:rsidRPr="00F10BA6" w:rsidRDefault="0065341A" w:rsidP="00C47B7D">
      <w:pPr>
        <w:spacing w:after="0"/>
        <w:rPr>
          <w:rFonts w:cs="Arial"/>
          <w:szCs w:val="20"/>
        </w:rPr>
      </w:pPr>
      <w:r w:rsidRPr="00F10BA6">
        <w:rPr>
          <w:rFonts w:cs="Arial"/>
          <w:szCs w:val="20"/>
          <w:lang w:eastAsia="it-IT"/>
        </w:rPr>
        <w:t xml:space="preserve">Nel </w:t>
      </w:r>
      <w:r w:rsidR="0055018A" w:rsidRPr="00F10BA6">
        <w:rPr>
          <w:rFonts w:cs="Arial"/>
          <w:szCs w:val="20"/>
          <w:lang w:eastAsia="it-IT"/>
        </w:rPr>
        <w:t>primo</w:t>
      </w:r>
      <w:r w:rsidRPr="00F10BA6">
        <w:rPr>
          <w:rFonts w:cs="Arial"/>
          <w:szCs w:val="20"/>
          <w:lang w:eastAsia="it-IT"/>
        </w:rPr>
        <w:t xml:space="preserve"> trimestre 201</w:t>
      </w:r>
      <w:r w:rsidR="0055018A" w:rsidRPr="00F10BA6">
        <w:rPr>
          <w:rFonts w:cs="Arial"/>
          <w:szCs w:val="20"/>
          <w:lang w:eastAsia="it-IT"/>
        </w:rPr>
        <w:t>9</w:t>
      </w:r>
      <w:r w:rsidRPr="00F10BA6">
        <w:rPr>
          <w:rFonts w:cs="Arial"/>
          <w:szCs w:val="20"/>
          <w:lang w:eastAsia="it-IT"/>
        </w:rPr>
        <w:t xml:space="preserve">, </w:t>
      </w:r>
      <w:r w:rsidR="0055018A" w:rsidRPr="00F10BA6">
        <w:rPr>
          <w:rFonts w:cs="Arial"/>
          <w:szCs w:val="20"/>
          <w:lang w:eastAsia="it-IT"/>
        </w:rPr>
        <w:t>tra</w:t>
      </w:r>
      <w:r w:rsidRPr="00F10BA6">
        <w:rPr>
          <w:rFonts w:cs="Arial"/>
          <w:szCs w:val="20"/>
          <w:lang w:eastAsia="it-IT"/>
        </w:rPr>
        <w:t xml:space="preserve"> i giovani di 15-34 anni </w:t>
      </w:r>
      <w:r w:rsidR="002008A7" w:rsidRPr="00F10BA6">
        <w:rPr>
          <w:rFonts w:cs="Arial"/>
          <w:szCs w:val="20"/>
          <w:lang w:eastAsia="it-IT"/>
        </w:rPr>
        <w:t xml:space="preserve">l’occupazione </w:t>
      </w:r>
      <w:r w:rsidR="0055018A" w:rsidRPr="00F10BA6">
        <w:rPr>
          <w:rFonts w:cs="Arial"/>
          <w:szCs w:val="20"/>
          <w:lang w:eastAsia="it-IT"/>
        </w:rPr>
        <w:t>e il relativo tasso aumentano</w:t>
      </w:r>
      <w:r w:rsidR="002008A7" w:rsidRPr="00F10BA6">
        <w:rPr>
          <w:rFonts w:cs="Arial"/>
          <w:szCs w:val="20"/>
          <w:lang w:eastAsia="it-IT"/>
        </w:rPr>
        <w:t xml:space="preserve"> sia rispetto al trimestre preceden</w:t>
      </w:r>
      <w:r w:rsidR="0055018A" w:rsidRPr="00F10BA6">
        <w:rPr>
          <w:rFonts w:cs="Arial"/>
          <w:szCs w:val="20"/>
          <w:lang w:eastAsia="it-IT"/>
        </w:rPr>
        <w:t xml:space="preserve">te sia rispetto a un anno prima; i disoccupati, sia nei valori assoluti sia nel tasso, diminuiscono in entrambi i confronti mentre il tasso di inattività cala in termini congiunturali e rimane stabile nel tendenziale. </w:t>
      </w:r>
      <w:r w:rsidRPr="00F10BA6">
        <w:rPr>
          <w:rFonts w:cs="Arial"/>
          <w:szCs w:val="20"/>
        </w:rPr>
        <w:t xml:space="preserve">Nella classe di età 35-49 anni, </w:t>
      </w:r>
      <w:r w:rsidR="00C47B7D" w:rsidRPr="00F10BA6">
        <w:rPr>
          <w:rFonts w:cs="Arial"/>
          <w:szCs w:val="20"/>
        </w:rPr>
        <w:t>malgrado il calo del</w:t>
      </w:r>
      <w:r w:rsidR="00552D43" w:rsidRPr="00F10BA6">
        <w:rPr>
          <w:rFonts w:cs="Arial"/>
          <w:szCs w:val="20"/>
        </w:rPr>
        <w:t xml:space="preserve"> numero </w:t>
      </w:r>
      <w:r w:rsidR="00783B84">
        <w:rPr>
          <w:rFonts w:cs="Arial"/>
          <w:szCs w:val="20"/>
        </w:rPr>
        <w:t xml:space="preserve">assoluto </w:t>
      </w:r>
      <w:r w:rsidR="00552D43" w:rsidRPr="00F10BA6">
        <w:rPr>
          <w:rFonts w:cs="Arial"/>
          <w:szCs w:val="20"/>
        </w:rPr>
        <w:t xml:space="preserve">di </w:t>
      </w:r>
      <w:r w:rsidR="009B2F2B" w:rsidRPr="00F10BA6">
        <w:rPr>
          <w:rFonts w:cs="Arial"/>
          <w:szCs w:val="20"/>
        </w:rPr>
        <w:t>occupa</w:t>
      </w:r>
      <w:r w:rsidR="00552D43" w:rsidRPr="00F10BA6">
        <w:rPr>
          <w:rFonts w:cs="Arial"/>
          <w:szCs w:val="20"/>
        </w:rPr>
        <w:t>ti</w:t>
      </w:r>
      <w:r w:rsidR="0055018A" w:rsidRPr="00F10BA6">
        <w:rPr>
          <w:rFonts w:cs="Arial"/>
          <w:szCs w:val="20"/>
        </w:rPr>
        <w:t xml:space="preserve"> in entrambi i confronti</w:t>
      </w:r>
      <w:r w:rsidR="00C47B7D" w:rsidRPr="00F10BA6">
        <w:rPr>
          <w:rFonts w:cs="Arial"/>
          <w:szCs w:val="20"/>
        </w:rPr>
        <w:t>,</w:t>
      </w:r>
      <w:r w:rsidR="009B2F2B" w:rsidRPr="00F10BA6">
        <w:rPr>
          <w:rFonts w:cs="Arial"/>
          <w:szCs w:val="20"/>
        </w:rPr>
        <w:t xml:space="preserve"> </w:t>
      </w:r>
      <w:r w:rsidR="00C47B7D" w:rsidRPr="00F10BA6">
        <w:rPr>
          <w:rFonts w:cs="Arial"/>
          <w:szCs w:val="20"/>
        </w:rPr>
        <w:t xml:space="preserve">il tasso di occupazione </w:t>
      </w:r>
      <w:r w:rsidR="0055018A" w:rsidRPr="00F10BA6">
        <w:rPr>
          <w:rFonts w:cs="Arial"/>
          <w:szCs w:val="20"/>
        </w:rPr>
        <w:t>rimane stabile rispetto al trimestre precedente e aumenta su base annua</w:t>
      </w:r>
      <w:r w:rsidRPr="00F10BA6">
        <w:rPr>
          <w:rFonts w:cs="Arial"/>
          <w:szCs w:val="20"/>
        </w:rPr>
        <w:t>. Prosegue, infine, la crescita del tasso di oc</w:t>
      </w:r>
      <w:r w:rsidR="006578B9" w:rsidRPr="00F10BA6">
        <w:rPr>
          <w:rFonts w:cs="Arial"/>
          <w:szCs w:val="20"/>
        </w:rPr>
        <w:t xml:space="preserve">cupazione tra gli over50 </w:t>
      </w:r>
      <w:r w:rsidR="00EE2A33" w:rsidRPr="00F10BA6">
        <w:rPr>
          <w:rFonts w:cs="Arial"/>
          <w:szCs w:val="20"/>
        </w:rPr>
        <w:t>su base annua</w:t>
      </w:r>
      <w:r w:rsidR="006578B9" w:rsidRPr="00F10BA6">
        <w:rPr>
          <w:rFonts w:cs="Arial"/>
          <w:szCs w:val="20"/>
        </w:rPr>
        <w:t xml:space="preserve"> mentre l’indicatore rimane stabile rispetto al trimestre precedente</w:t>
      </w:r>
      <w:r w:rsidR="00172ECA" w:rsidRPr="00F10BA6">
        <w:rPr>
          <w:rFonts w:cs="Arial"/>
          <w:szCs w:val="20"/>
        </w:rPr>
        <w:t>.</w:t>
      </w:r>
    </w:p>
    <w:p w14:paraId="23344F8E" w14:textId="454CAD2A" w:rsidR="0065341A" w:rsidRPr="00F10BA6" w:rsidRDefault="0065341A" w:rsidP="0065341A">
      <w:pPr>
        <w:spacing w:after="0"/>
        <w:rPr>
          <w:rFonts w:cs="Arial"/>
          <w:szCs w:val="20"/>
        </w:rPr>
      </w:pPr>
      <w:r w:rsidRPr="00F10BA6">
        <w:rPr>
          <w:rFonts w:cs="Arial"/>
          <w:szCs w:val="20"/>
        </w:rPr>
        <w:t>D’altra parte, le variazioni assolute dei tre aggregati per classe di età risentono della dinamica della popolazione sottostante. Nel caso dei 35-49enni, ad esempio, a fronte di un calo di popolazione annuo del 2,</w:t>
      </w:r>
      <w:r w:rsidR="002161E0" w:rsidRPr="00F10BA6">
        <w:rPr>
          <w:rFonts w:cs="Arial"/>
          <w:szCs w:val="20"/>
        </w:rPr>
        <w:t>2</w:t>
      </w:r>
      <w:r w:rsidRPr="00F10BA6">
        <w:rPr>
          <w:rFonts w:cs="Arial"/>
          <w:szCs w:val="20"/>
        </w:rPr>
        <w:t>%, la variazione tendenziale nel numero di occupati è meno intensa (-1,</w:t>
      </w:r>
      <w:r w:rsidR="009334F2" w:rsidRPr="00F10BA6">
        <w:rPr>
          <w:rFonts w:cs="Arial"/>
          <w:szCs w:val="20"/>
        </w:rPr>
        <w:t>2</w:t>
      </w:r>
      <w:r w:rsidRPr="00F10BA6">
        <w:rPr>
          <w:rFonts w:cs="Arial"/>
          <w:szCs w:val="20"/>
        </w:rPr>
        <w:t>%), e sarebbe stata positiva (+</w:t>
      </w:r>
      <w:r w:rsidR="009334F2" w:rsidRPr="00F10BA6">
        <w:rPr>
          <w:rFonts w:cs="Arial"/>
          <w:szCs w:val="20"/>
        </w:rPr>
        <w:t>1</w:t>
      </w:r>
      <w:r w:rsidRPr="00F10BA6">
        <w:rPr>
          <w:rFonts w:cs="Arial"/>
          <w:szCs w:val="20"/>
        </w:rPr>
        <w:t>,</w:t>
      </w:r>
      <w:r w:rsidR="009334F2" w:rsidRPr="00F10BA6">
        <w:rPr>
          <w:rFonts w:cs="Arial"/>
          <w:szCs w:val="20"/>
        </w:rPr>
        <w:t>0</w:t>
      </w:r>
      <w:r w:rsidRPr="00F10BA6">
        <w:rPr>
          <w:rFonts w:cs="Arial"/>
          <w:szCs w:val="20"/>
        </w:rPr>
        <w:t xml:space="preserve">%) in assenza del calo demografico. Al riguardo, la Figura 4 mostra la variazione tendenziale per ciascuna fascia di età della popolazione e </w:t>
      </w:r>
      <w:r w:rsidR="005271AB" w:rsidRPr="00F10BA6">
        <w:rPr>
          <w:rFonts w:cs="Arial"/>
          <w:szCs w:val="20"/>
        </w:rPr>
        <w:t xml:space="preserve">dei tre </w:t>
      </w:r>
      <w:r w:rsidRPr="00F10BA6">
        <w:rPr>
          <w:rFonts w:cs="Arial"/>
          <w:szCs w:val="20"/>
        </w:rPr>
        <w:t>aggregati (occupati, disoccupati e inattivi); per questi ultimi viene riportata anche la variazione che si sarebbe avuta nell’ipotesi che a 12 mesi di distanza la numerosità della popolazione fosse rimasta invariata.</w:t>
      </w:r>
      <w:r w:rsidRPr="00F10BA6">
        <w:rPr>
          <w:rStyle w:val="Rimandonotaapidipagina"/>
          <w:rFonts w:cs="Arial"/>
          <w:szCs w:val="20"/>
        </w:rPr>
        <w:footnoteReference w:id="4"/>
      </w:r>
      <w:r w:rsidRPr="00F10BA6">
        <w:rPr>
          <w:rFonts w:cs="Arial"/>
          <w:szCs w:val="20"/>
        </w:rPr>
        <w:t xml:space="preserve"> Al netto della componente demografica, l’occupazione </w:t>
      </w:r>
      <w:r w:rsidR="00DA6D9E" w:rsidRPr="00F10BA6">
        <w:rPr>
          <w:rFonts w:cs="Arial"/>
          <w:szCs w:val="20"/>
        </w:rPr>
        <w:t xml:space="preserve">sarebbe </w:t>
      </w:r>
      <w:r w:rsidR="00932AFE" w:rsidRPr="00F10BA6">
        <w:rPr>
          <w:rFonts w:cs="Arial"/>
          <w:szCs w:val="20"/>
        </w:rPr>
        <w:t xml:space="preserve">aumentata </w:t>
      </w:r>
      <w:r w:rsidR="009334F2" w:rsidRPr="00F10BA6">
        <w:rPr>
          <w:rFonts w:cs="Arial"/>
          <w:szCs w:val="20"/>
        </w:rPr>
        <w:t>per i 35-49enni</w:t>
      </w:r>
      <w:r w:rsidR="000816A0">
        <w:rPr>
          <w:rFonts w:cs="Arial"/>
          <w:szCs w:val="20"/>
        </w:rPr>
        <w:t>, cresciuta</w:t>
      </w:r>
      <w:r w:rsidR="009334F2" w:rsidRPr="00F10BA6">
        <w:rPr>
          <w:rFonts w:cs="Arial"/>
          <w:szCs w:val="20"/>
        </w:rPr>
        <w:t xml:space="preserve"> </w:t>
      </w:r>
      <w:r w:rsidR="00932AFE" w:rsidRPr="00F10BA6">
        <w:rPr>
          <w:rFonts w:cs="Arial"/>
          <w:szCs w:val="20"/>
        </w:rPr>
        <w:t>in maniera più marcata</w:t>
      </w:r>
      <w:r w:rsidR="009334F2" w:rsidRPr="00F10BA6">
        <w:rPr>
          <w:rFonts w:cs="Arial"/>
          <w:szCs w:val="20"/>
        </w:rPr>
        <w:t xml:space="preserve"> per i giovani</w:t>
      </w:r>
      <w:r w:rsidR="000816A0">
        <w:rPr>
          <w:rFonts w:cs="Arial"/>
          <w:szCs w:val="20"/>
        </w:rPr>
        <w:t xml:space="preserve"> e meno forte</w:t>
      </w:r>
      <w:r w:rsidR="00DA6D9E" w:rsidRPr="00F10BA6">
        <w:rPr>
          <w:rFonts w:cs="Arial"/>
          <w:szCs w:val="20"/>
        </w:rPr>
        <w:t xml:space="preserve"> per gli over50</w:t>
      </w:r>
      <w:r w:rsidRPr="00F10BA6">
        <w:rPr>
          <w:rFonts w:cs="Arial"/>
          <w:szCs w:val="20"/>
        </w:rPr>
        <w:t xml:space="preserve">. Riguardo alla disoccupazione, </w:t>
      </w:r>
      <w:r w:rsidR="009334F2" w:rsidRPr="00F10BA6">
        <w:rPr>
          <w:rFonts w:cs="Arial"/>
          <w:szCs w:val="20"/>
        </w:rPr>
        <w:t xml:space="preserve">per gli under 49 il calo </w:t>
      </w:r>
      <w:r w:rsidRPr="00F10BA6">
        <w:rPr>
          <w:rFonts w:cs="Arial"/>
          <w:szCs w:val="20"/>
        </w:rPr>
        <w:t xml:space="preserve">sarebbe stato meno intenso </w:t>
      </w:r>
      <w:r w:rsidR="00932AFE" w:rsidRPr="00F10BA6">
        <w:rPr>
          <w:rFonts w:cs="Arial"/>
          <w:szCs w:val="20"/>
        </w:rPr>
        <w:t xml:space="preserve">e </w:t>
      </w:r>
      <w:r w:rsidR="009334F2" w:rsidRPr="00F10BA6">
        <w:rPr>
          <w:rFonts w:cs="Arial"/>
          <w:szCs w:val="20"/>
        </w:rPr>
        <w:t>per i 50-64enni sarebbe diminuita</w:t>
      </w:r>
      <w:r w:rsidRPr="00F10BA6">
        <w:rPr>
          <w:rFonts w:cs="Arial"/>
          <w:szCs w:val="20"/>
        </w:rPr>
        <w:t xml:space="preserve">. Sempre al netto della componente demografica, </w:t>
      </w:r>
      <w:r w:rsidR="003D135F" w:rsidRPr="00F10BA6">
        <w:rPr>
          <w:rFonts w:cs="Arial"/>
          <w:szCs w:val="20"/>
        </w:rPr>
        <w:t xml:space="preserve">la </w:t>
      </w:r>
      <w:r w:rsidR="009334F2" w:rsidRPr="00F10BA6">
        <w:rPr>
          <w:rFonts w:cs="Arial"/>
          <w:szCs w:val="20"/>
        </w:rPr>
        <w:t>diminuzione</w:t>
      </w:r>
      <w:r w:rsidR="003D135F" w:rsidRPr="00F10BA6">
        <w:rPr>
          <w:rFonts w:cs="Arial"/>
          <w:szCs w:val="20"/>
        </w:rPr>
        <w:t xml:space="preserve"> del</w:t>
      </w:r>
      <w:r w:rsidRPr="00F10BA6">
        <w:rPr>
          <w:rFonts w:cs="Arial"/>
          <w:szCs w:val="20"/>
        </w:rPr>
        <w:t>l’inattività sarebbe</w:t>
      </w:r>
      <w:r w:rsidR="003D135F" w:rsidRPr="00F10BA6">
        <w:rPr>
          <w:rFonts w:cs="Arial"/>
          <w:szCs w:val="20"/>
        </w:rPr>
        <w:t xml:space="preserve"> stata </w:t>
      </w:r>
      <w:r w:rsidR="009334F2" w:rsidRPr="00F10BA6">
        <w:rPr>
          <w:rFonts w:cs="Arial"/>
          <w:szCs w:val="20"/>
        </w:rPr>
        <w:t>meno</w:t>
      </w:r>
      <w:r w:rsidR="003D135F" w:rsidRPr="00F10BA6">
        <w:rPr>
          <w:rFonts w:cs="Arial"/>
          <w:szCs w:val="20"/>
        </w:rPr>
        <w:t xml:space="preserve"> intensa</w:t>
      </w:r>
      <w:r w:rsidRPr="00F10BA6">
        <w:rPr>
          <w:rFonts w:cs="Arial"/>
          <w:szCs w:val="20"/>
        </w:rPr>
        <w:t xml:space="preserve"> per i 15-34enni</w:t>
      </w:r>
      <w:r w:rsidR="003D135F" w:rsidRPr="00F10BA6">
        <w:rPr>
          <w:rFonts w:cs="Arial"/>
          <w:szCs w:val="20"/>
        </w:rPr>
        <w:t xml:space="preserve"> e </w:t>
      </w:r>
      <w:r w:rsidR="009334F2" w:rsidRPr="00F10BA6">
        <w:rPr>
          <w:rFonts w:cs="Arial"/>
          <w:szCs w:val="20"/>
        </w:rPr>
        <w:t xml:space="preserve">per i 35-49enni </w:t>
      </w:r>
      <w:r w:rsidR="003D135F" w:rsidRPr="00F10BA6">
        <w:rPr>
          <w:rFonts w:cs="Arial"/>
          <w:szCs w:val="20"/>
        </w:rPr>
        <w:t xml:space="preserve">e </w:t>
      </w:r>
      <w:r w:rsidR="009334F2" w:rsidRPr="00F10BA6">
        <w:rPr>
          <w:rFonts w:cs="Arial"/>
          <w:szCs w:val="20"/>
        </w:rPr>
        <w:t>avrebbe riguardato anche i 50-64enni</w:t>
      </w:r>
      <w:r w:rsidRPr="00F10BA6">
        <w:rPr>
          <w:rFonts w:cs="Arial"/>
          <w:szCs w:val="20"/>
        </w:rPr>
        <w:t xml:space="preserve">. </w:t>
      </w:r>
    </w:p>
    <w:p w14:paraId="28DCACB7" w14:textId="435A71C0" w:rsidR="0065341A" w:rsidRPr="003F6291" w:rsidRDefault="0065341A" w:rsidP="0065341A">
      <w:pPr>
        <w:spacing w:after="0"/>
        <w:rPr>
          <w:rFonts w:cs="Arial"/>
          <w:szCs w:val="20"/>
        </w:rPr>
      </w:pPr>
      <w:r w:rsidRPr="00F10BA6">
        <w:rPr>
          <w:rFonts w:cs="Arial"/>
          <w:szCs w:val="20"/>
        </w:rPr>
        <w:t xml:space="preserve">La simulazione </w:t>
      </w:r>
      <w:r w:rsidR="00C12973" w:rsidRPr="00F10BA6">
        <w:rPr>
          <w:rFonts w:cs="Arial"/>
          <w:szCs w:val="20"/>
        </w:rPr>
        <w:t xml:space="preserve">tuttavia </w:t>
      </w:r>
      <w:r w:rsidRPr="00F10BA6">
        <w:rPr>
          <w:rFonts w:cs="Arial"/>
          <w:szCs w:val="20"/>
        </w:rPr>
        <w:t xml:space="preserve">non include gli altri possibili effetti sottostanti alla diversa composizione per età della popolazione: dal numero di individui che concorrono </w:t>
      </w:r>
      <w:r w:rsidR="008021B9">
        <w:rPr>
          <w:rFonts w:cs="Arial"/>
          <w:szCs w:val="20"/>
        </w:rPr>
        <w:t>per lo stesso lavoro</w:t>
      </w:r>
      <w:r w:rsidRPr="00F10BA6">
        <w:rPr>
          <w:rFonts w:cs="Arial"/>
          <w:szCs w:val="20"/>
        </w:rPr>
        <w:t>, al diverso capitale umano impiegabile nel processo produttivo, alle differenti opportunità di incontro tra domanda e offerta di lavoro.</w:t>
      </w:r>
    </w:p>
    <w:p w14:paraId="064B7E44" w14:textId="77777777" w:rsidR="0065341A" w:rsidRPr="003F6291" w:rsidRDefault="0065341A" w:rsidP="0065341A">
      <w:pPr>
        <w:spacing w:after="0"/>
        <w:rPr>
          <w:rFonts w:cs="Arial"/>
          <w:szCs w:val="20"/>
        </w:rPr>
      </w:pPr>
    </w:p>
    <w:p w14:paraId="31D3A1AE" w14:textId="77777777" w:rsidR="00EC27FB" w:rsidRDefault="00BC71C9" w:rsidP="00EC27FB">
      <w:pPr>
        <w:spacing w:after="0"/>
        <w:ind w:left="993" w:right="849"/>
        <w:rPr>
          <w:rFonts w:ascii="Arial Narrow" w:hAnsi="Arial Narrow" w:cs="Arial"/>
          <w:b/>
          <w:kern w:val="28"/>
        </w:rPr>
      </w:pPr>
      <w:r w:rsidRPr="00EC27FB">
        <w:rPr>
          <w:rFonts w:ascii="Arial Narrow" w:hAnsi="Arial Narrow" w:cs="Arial"/>
          <w:b/>
          <w:color w:val="323E4F" w:themeColor="text2" w:themeShade="BF"/>
          <w:kern w:val="28"/>
        </w:rPr>
        <w:t>FIGURA 4. POPOLAZIONE</w:t>
      </w:r>
      <w:r w:rsidR="00455FE7" w:rsidRPr="00EC27FB">
        <w:rPr>
          <w:rFonts w:ascii="Arial Narrow" w:hAnsi="Arial Narrow" w:cs="Arial"/>
          <w:b/>
          <w:color w:val="323E4F" w:themeColor="text2" w:themeShade="BF"/>
          <w:kern w:val="28"/>
        </w:rPr>
        <w:t>,</w:t>
      </w:r>
      <w:r w:rsidRPr="00EC27FB">
        <w:rPr>
          <w:rFonts w:ascii="Arial Narrow" w:hAnsi="Arial Narrow" w:cs="Arial"/>
          <w:b/>
          <w:color w:val="323E4F" w:themeColor="text2" w:themeShade="BF"/>
          <w:kern w:val="28"/>
        </w:rPr>
        <w:t xml:space="preserve"> OCCUPATI</w:t>
      </w:r>
      <w:r w:rsidR="00455FE7" w:rsidRPr="00EC27FB">
        <w:rPr>
          <w:rFonts w:ascii="Arial Narrow" w:hAnsi="Arial Narrow" w:cs="Arial"/>
          <w:b/>
          <w:color w:val="323E4F" w:themeColor="text2" w:themeShade="BF"/>
          <w:kern w:val="28"/>
        </w:rPr>
        <w:t>,</w:t>
      </w:r>
      <w:r w:rsidRPr="00EC27FB">
        <w:rPr>
          <w:rFonts w:ascii="Arial Narrow" w:hAnsi="Arial Narrow" w:cs="Arial"/>
          <w:b/>
          <w:color w:val="323E4F" w:themeColor="text2" w:themeShade="BF"/>
          <w:kern w:val="28"/>
        </w:rPr>
        <w:t xml:space="preserve"> DISOCCUPATI E INATTIVI PER CLASSE DI ETA’</w:t>
      </w:r>
    </w:p>
    <w:p w14:paraId="34FE5798" w14:textId="1EEE52C0" w:rsidR="00BC71C9" w:rsidRDefault="00BC71C9" w:rsidP="00EC27FB">
      <w:pPr>
        <w:spacing w:after="0"/>
        <w:ind w:left="993" w:right="849"/>
        <w:rPr>
          <w:rFonts w:ascii="Arial Narrow" w:hAnsi="Arial Narrow" w:cs="Arial"/>
          <w:kern w:val="28"/>
          <w:sz w:val="19"/>
          <w:szCs w:val="19"/>
        </w:rPr>
      </w:pPr>
      <w:r w:rsidRPr="00F10BA6">
        <w:rPr>
          <w:rFonts w:ascii="Arial Narrow" w:hAnsi="Arial Narrow" w:cs="Arial"/>
          <w:kern w:val="28"/>
          <w:sz w:val="19"/>
          <w:szCs w:val="19"/>
        </w:rPr>
        <w:t>Variazioni tendenziali assolute e al netto della componente demografica</w:t>
      </w:r>
      <w:r w:rsidRPr="00F10BA6">
        <w:rPr>
          <w:rFonts w:ascii="Arial Narrow" w:hAnsi="Arial Narrow" w:cs="Arial"/>
          <w:b/>
          <w:color w:val="323E4F" w:themeColor="text2" w:themeShade="BF"/>
          <w:kern w:val="28"/>
        </w:rPr>
        <w:t xml:space="preserve">.  </w:t>
      </w:r>
      <w:r w:rsidRPr="00F10BA6">
        <w:rPr>
          <w:rFonts w:ascii="Arial Narrow" w:hAnsi="Arial Narrow" w:cs="Arial"/>
          <w:kern w:val="28"/>
          <w:sz w:val="19"/>
          <w:szCs w:val="19"/>
        </w:rPr>
        <w:t>I trimestre 201</w:t>
      </w:r>
      <w:r w:rsidR="00BA2E6F" w:rsidRPr="00F10BA6">
        <w:rPr>
          <w:rFonts w:ascii="Arial Narrow" w:hAnsi="Arial Narrow" w:cs="Arial"/>
          <w:kern w:val="28"/>
          <w:sz w:val="19"/>
          <w:szCs w:val="19"/>
        </w:rPr>
        <w:t>9</w:t>
      </w:r>
    </w:p>
    <w:p w14:paraId="1082D440" w14:textId="77777777" w:rsidR="00EC27FB" w:rsidRPr="003F6291" w:rsidRDefault="00EC27FB" w:rsidP="00BC71C9">
      <w:pPr>
        <w:spacing w:after="0"/>
      </w:pPr>
    </w:p>
    <w:p w14:paraId="1C732282" w14:textId="72C73801" w:rsidR="00BC71C9" w:rsidRPr="003F6291" w:rsidRDefault="00BA2E6F" w:rsidP="00EC27FB">
      <w:pPr>
        <w:spacing w:after="0"/>
        <w:jc w:val="center"/>
        <w:rPr>
          <w:sz w:val="16"/>
          <w:szCs w:val="16"/>
        </w:rPr>
      </w:pPr>
      <w:r w:rsidRPr="00BA2E6F">
        <w:rPr>
          <w:noProof/>
          <w:lang w:eastAsia="it-IT"/>
        </w:rPr>
        <w:drawing>
          <wp:inline distT="0" distB="0" distL="0" distR="0" wp14:anchorId="404A751A" wp14:editId="61FD61B6">
            <wp:extent cx="4813525" cy="3371850"/>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1065" cy="3377132"/>
                    </a:xfrm>
                    <a:prstGeom prst="rect">
                      <a:avLst/>
                    </a:prstGeom>
                    <a:noFill/>
                    <a:ln>
                      <a:noFill/>
                    </a:ln>
                  </pic:spPr>
                </pic:pic>
              </a:graphicData>
            </a:graphic>
          </wp:inline>
        </w:drawing>
      </w:r>
    </w:p>
    <w:p w14:paraId="760BBAEF" w14:textId="0E2A6694" w:rsidR="00BC71C9" w:rsidRPr="00A4252C" w:rsidRDefault="006578B9" w:rsidP="00EC27FB">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0"/>
        <w:ind w:left="993"/>
        <w:rPr>
          <w:rFonts w:cs="Arial"/>
          <w:szCs w:val="20"/>
        </w:rPr>
      </w:pPr>
      <w:r>
        <w:rPr>
          <w:rFonts w:ascii="Arial Narrow" w:hAnsi="Arial Narrow" w:cs="Arial"/>
          <w:i/>
          <w:kern w:val="28"/>
          <w:sz w:val="15"/>
          <w:szCs w:val="15"/>
        </w:rPr>
        <w:t>Fonte: Istat,</w:t>
      </w:r>
      <w:r w:rsidR="00BC71C9" w:rsidRPr="003F6291">
        <w:rPr>
          <w:rFonts w:ascii="Arial Narrow" w:hAnsi="Arial Narrow" w:cs="Arial"/>
          <w:i/>
          <w:kern w:val="28"/>
          <w:sz w:val="15"/>
          <w:szCs w:val="15"/>
        </w:rPr>
        <w:t xml:space="preserve"> Rilevazione sulle forze di lavoro</w:t>
      </w:r>
    </w:p>
    <w:p w14:paraId="48FF13CA" w14:textId="77777777" w:rsidR="00676B6B" w:rsidRDefault="00676B6B" w:rsidP="00BB5E7D">
      <w:pPr>
        <w:pStyle w:val="titoletto"/>
      </w:pPr>
    </w:p>
    <w:p w14:paraId="5F7CDAA4" w14:textId="77777777" w:rsidR="006B1474" w:rsidRDefault="006B1474" w:rsidP="00BB5E7D">
      <w:pPr>
        <w:pStyle w:val="titoletto"/>
      </w:pPr>
    </w:p>
    <w:p w14:paraId="53DCAB8E" w14:textId="77777777" w:rsidR="006B1474" w:rsidRDefault="006B1474" w:rsidP="00BB5E7D">
      <w:pPr>
        <w:pStyle w:val="titoletto"/>
      </w:pPr>
    </w:p>
    <w:p w14:paraId="7D26582D" w14:textId="0D4EF7E7" w:rsidR="004176C3" w:rsidRPr="00A4252C" w:rsidRDefault="004176C3" w:rsidP="00BB5E7D">
      <w:pPr>
        <w:pStyle w:val="titoletto"/>
      </w:pPr>
      <w:r w:rsidRPr="00A4252C">
        <w:t>Posizioni lavorative per tipologia di contratto dell’occupazione, settore di attività economica e classe dimensionale dell’impresa</w:t>
      </w:r>
    </w:p>
    <w:p w14:paraId="079F2B13" w14:textId="6FCB2C63" w:rsidR="003C63F9" w:rsidRPr="00A4252C" w:rsidRDefault="004176C3" w:rsidP="00C52037">
      <w:pPr>
        <w:rPr>
          <w:rFonts w:cs="Arial"/>
          <w:szCs w:val="20"/>
        </w:rPr>
      </w:pPr>
      <w:r w:rsidRPr="00A51547">
        <w:rPr>
          <w:rFonts w:cs="Arial"/>
          <w:szCs w:val="20"/>
        </w:rPr>
        <w:t>Dal lato della domanda di lavoro</w:t>
      </w:r>
      <w:r w:rsidR="00BF5E29" w:rsidRPr="00A51547">
        <w:rPr>
          <w:rFonts w:cs="Arial"/>
          <w:szCs w:val="20"/>
        </w:rPr>
        <w:t xml:space="preserve"> dipendente </w:t>
      </w:r>
      <w:r w:rsidRPr="00A51547">
        <w:rPr>
          <w:rFonts w:cs="Arial"/>
          <w:szCs w:val="20"/>
        </w:rPr>
        <w:t xml:space="preserve">regolare, riferita all’intera economia, </w:t>
      </w:r>
      <w:r w:rsidR="00783B84">
        <w:rPr>
          <w:rFonts w:cs="Arial"/>
          <w:szCs w:val="20"/>
        </w:rPr>
        <w:t>dai</w:t>
      </w:r>
      <w:r w:rsidR="00783B84" w:rsidRPr="00A51547">
        <w:rPr>
          <w:rFonts w:cs="Arial"/>
          <w:szCs w:val="20"/>
        </w:rPr>
        <w:t xml:space="preserve"> </w:t>
      </w:r>
      <w:r w:rsidRPr="00A51547">
        <w:rPr>
          <w:rFonts w:cs="Arial"/>
          <w:szCs w:val="20"/>
        </w:rPr>
        <w:t>dati destagi</w:t>
      </w:r>
      <w:r w:rsidR="00635C20" w:rsidRPr="00A51547">
        <w:rPr>
          <w:rFonts w:cs="Arial"/>
          <w:szCs w:val="20"/>
        </w:rPr>
        <w:t>onalizzati delle Comunicazioni o</w:t>
      </w:r>
      <w:r w:rsidRPr="00A51547">
        <w:rPr>
          <w:rFonts w:cs="Arial"/>
          <w:szCs w:val="20"/>
        </w:rPr>
        <w:t xml:space="preserve">bbligatorie del Ministero del lavoro e delle politiche sociali </w:t>
      </w:r>
      <w:r w:rsidR="00783B84">
        <w:rPr>
          <w:rFonts w:cs="Arial"/>
          <w:szCs w:val="20"/>
        </w:rPr>
        <w:t xml:space="preserve">si osserva un </w:t>
      </w:r>
      <w:r w:rsidR="00A57F3A" w:rsidRPr="00A51547">
        <w:rPr>
          <w:rFonts w:cs="Arial"/>
          <w:szCs w:val="20"/>
        </w:rPr>
        <w:t>aument</w:t>
      </w:r>
      <w:r w:rsidR="002D184E" w:rsidRPr="00A51547">
        <w:rPr>
          <w:rFonts w:cs="Arial"/>
          <w:szCs w:val="20"/>
        </w:rPr>
        <w:t>o delle posizioni lavorative (+</w:t>
      </w:r>
      <w:r w:rsidR="00D7033E" w:rsidRPr="00A51547">
        <w:rPr>
          <w:rFonts w:cs="Arial"/>
          <w:szCs w:val="20"/>
        </w:rPr>
        <w:t>138</w:t>
      </w:r>
      <w:r w:rsidR="00A57F3A" w:rsidRPr="00A51547">
        <w:rPr>
          <w:rFonts w:cs="Arial"/>
          <w:szCs w:val="20"/>
        </w:rPr>
        <w:t xml:space="preserve"> mila posizioni</w:t>
      </w:r>
      <w:r w:rsidR="00503AB9">
        <w:rPr>
          <w:rFonts w:cs="Arial"/>
          <w:szCs w:val="20"/>
        </w:rPr>
        <w:t xml:space="preserve"> </w:t>
      </w:r>
      <w:r w:rsidR="00503AB9" w:rsidRPr="00A51547">
        <w:rPr>
          <w:rFonts w:cs="Arial"/>
          <w:szCs w:val="20"/>
        </w:rPr>
        <w:t>nel primo trimestre 2019</w:t>
      </w:r>
      <w:r w:rsidR="00A57F3A" w:rsidRPr="00A51547">
        <w:rPr>
          <w:rFonts w:cs="Arial"/>
          <w:szCs w:val="20"/>
        </w:rPr>
        <w:t>; Figura 1)</w:t>
      </w:r>
      <w:r w:rsidR="00503AB9">
        <w:rPr>
          <w:rFonts w:cs="Arial"/>
          <w:szCs w:val="20"/>
        </w:rPr>
        <w:t>,</w:t>
      </w:r>
      <w:r w:rsidR="002D184E" w:rsidRPr="00A51547">
        <w:rPr>
          <w:rFonts w:cs="Arial"/>
          <w:szCs w:val="20"/>
        </w:rPr>
        <w:t xml:space="preserve"> a ritmi </w:t>
      </w:r>
      <w:r w:rsidR="00C32FEB" w:rsidRPr="00A51547">
        <w:rPr>
          <w:rFonts w:cs="Arial"/>
          <w:szCs w:val="20"/>
        </w:rPr>
        <w:t xml:space="preserve">più </w:t>
      </w:r>
      <w:r w:rsidR="002D184E" w:rsidRPr="00A51547">
        <w:rPr>
          <w:rFonts w:cs="Arial"/>
          <w:szCs w:val="20"/>
        </w:rPr>
        <w:t xml:space="preserve">intensi </w:t>
      </w:r>
      <w:r w:rsidR="00624C08" w:rsidRPr="00A51547">
        <w:rPr>
          <w:rFonts w:cs="Arial"/>
          <w:szCs w:val="20"/>
        </w:rPr>
        <w:t xml:space="preserve">rispetto </w:t>
      </w:r>
      <w:r w:rsidR="002D184E" w:rsidRPr="00A51547">
        <w:rPr>
          <w:rFonts w:cs="Arial"/>
          <w:szCs w:val="20"/>
        </w:rPr>
        <w:t>al trimestr</w:t>
      </w:r>
      <w:r w:rsidR="001C4D4C" w:rsidRPr="00A51547">
        <w:rPr>
          <w:rFonts w:cs="Arial"/>
          <w:szCs w:val="20"/>
        </w:rPr>
        <w:t>e</w:t>
      </w:r>
      <w:r w:rsidR="002D184E" w:rsidRPr="00A51547">
        <w:rPr>
          <w:rFonts w:cs="Arial"/>
          <w:szCs w:val="20"/>
        </w:rPr>
        <w:t xml:space="preserve"> </w:t>
      </w:r>
      <w:r w:rsidR="001C4D4C" w:rsidRPr="00A51547">
        <w:rPr>
          <w:rFonts w:cs="Arial"/>
          <w:szCs w:val="20"/>
        </w:rPr>
        <w:t>precedente (</w:t>
      </w:r>
      <w:r w:rsidR="002D184E" w:rsidRPr="00A51547">
        <w:rPr>
          <w:rFonts w:cs="Arial"/>
          <w:szCs w:val="20"/>
        </w:rPr>
        <w:t>+</w:t>
      </w:r>
      <w:r w:rsidR="00D7033E" w:rsidRPr="00A51547">
        <w:rPr>
          <w:rFonts w:cs="Arial"/>
          <w:szCs w:val="20"/>
        </w:rPr>
        <w:t xml:space="preserve">101 </w:t>
      </w:r>
      <w:r w:rsidR="00430C2A" w:rsidRPr="00A51547">
        <w:rPr>
          <w:rFonts w:cs="Arial"/>
          <w:szCs w:val="20"/>
        </w:rPr>
        <w:t>mila</w:t>
      </w:r>
      <w:r w:rsidR="001C4D4C" w:rsidRPr="00A51547">
        <w:rPr>
          <w:rFonts w:cs="Arial"/>
          <w:szCs w:val="20"/>
        </w:rPr>
        <w:t>)</w:t>
      </w:r>
      <w:r w:rsidR="00B41697" w:rsidRPr="00A51547">
        <w:rPr>
          <w:rFonts w:cs="Arial"/>
          <w:szCs w:val="20"/>
        </w:rPr>
        <w:t>.</w:t>
      </w:r>
      <w:r w:rsidRPr="00A51547">
        <w:rPr>
          <w:rFonts w:cs="Arial"/>
          <w:szCs w:val="20"/>
        </w:rPr>
        <w:t xml:space="preserve"> </w:t>
      </w:r>
      <w:r w:rsidR="008574FB" w:rsidRPr="00A51547">
        <w:rPr>
          <w:rFonts w:cs="Arial"/>
          <w:szCs w:val="20"/>
        </w:rPr>
        <w:t>L’</w:t>
      </w:r>
      <w:r w:rsidR="00624C08" w:rsidRPr="00A51547">
        <w:rPr>
          <w:rFonts w:cs="Arial"/>
          <w:szCs w:val="20"/>
        </w:rPr>
        <w:t xml:space="preserve">incremento </w:t>
      </w:r>
      <w:r w:rsidRPr="00A51547">
        <w:rPr>
          <w:rFonts w:cs="Arial"/>
          <w:szCs w:val="20"/>
        </w:rPr>
        <w:t xml:space="preserve">è </w:t>
      </w:r>
      <w:r w:rsidR="00B41697" w:rsidRPr="00A51547">
        <w:rPr>
          <w:rFonts w:cs="Arial"/>
          <w:szCs w:val="20"/>
        </w:rPr>
        <w:t>dovut</w:t>
      </w:r>
      <w:r w:rsidR="008574FB" w:rsidRPr="00A51547">
        <w:rPr>
          <w:rFonts w:cs="Arial"/>
          <w:szCs w:val="20"/>
        </w:rPr>
        <w:t>o</w:t>
      </w:r>
      <w:r w:rsidR="00B41697" w:rsidRPr="00A51547">
        <w:rPr>
          <w:rFonts w:cs="Arial"/>
          <w:szCs w:val="20"/>
        </w:rPr>
        <w:t xml:space="preserve"> </w:t>
      </w:r>
      <w:r w:rsidR="00624C08" w:rsidRPr="00A51547">
        <w:rPr>
          <w:rFonts w:cs="Arial"/>
          <w:szCs w:val="20"/>
        </w:rPr>
        <w:t xml:space="preserve">esclusivamente </w:t>
      </w:r>
      <w:r w:rsidRPr="00A51547">
        <w:rPr>
          <w:rFonts w:cs="Arial"/>
          <w:szCs w:val="20"/>
        </w:rPr>
        <w:t xml:space="preserve">alle posizioni a tempo </w:t>
      </w:r>
      <w:r w:rsidR="002D184E" w:rsidRPr="00A51547">
        <w:rPr>
          <w:rFonts w:cs="Arial"/>
          <w:szCs w:val="20"/>
        </w:rPr>
        <w:t>in</w:t>
      </w:r>
      <w:r w:rsidRPr="00A51547">
        <w:rPr>
          <w:rFonts w:cs="Arial"/>
          <w:szCs w:val="20"/>
        </w:rPr>
        <w:t xml:space="preserve">determinato </w:t>
      </w:r>
      <w:r w:rsidR="00B41697" w:rsidRPr="00A51547">
        <w:rPr>
          <w:rFonts w:cs="Arial"/>
          <w:szCs w:val="20"/>
        </w:rPr>
        <w:t>(+</w:t>
      </w:r>
      <w:r w:rsidR="00D7033E" w:rsidRPr="00A51547">
        <w:rPr>
          <w:rFonts w:cs="Arial"/>
          <w:szCs w:val="20"/>
        </w:rPr>
        <w:t>2</w:t>
      </w:r>
      <w:r w:rsidR="00ED403A" w:rsidRPr="00A51547">
        <w:rPr>
          <w:rFonts w:cs="Arial"/>
          <w:szCs w:val="20"/>
        </w:rPr>
        <w:t>07</w:t>
      </w:r>
      <w:r w:rsidR="00D7033E" w:rsidRPr="00A51547">
        <w:rPr>
          <w:rFonts w:cs="Arial"/>
          <w:szCs w:val="20"/>
        </w:rPr>
        <w:t xml:space="preserve"> </w:t>
      </w:r>
      <w:r w:rsidR="00B41697" w:rsidRPr="00A51547">
        <w:rPr>
          <w:rFonts w:cs="Arial"/>
          <w:szCs w:val="20"/>
        </w:rPr>
        <w:t>mila)</w:t>
      </w:r>
      <w:r w:rsidR="002D184E" w:rsidRPr="00A51547">
        <w:rPr>
          <w:rFonts w:cs="Arial"/>
          <w:szCs w:val="20"/>
        </w:rPr>
        <w:t xml:space="preserve"> </w:t>
      </w:r>
      <w:r w:rsidR="008C269D" w:rsidRPr="00A51547">
        <w:rPr>
          <w:rFonts w:cs="Arial"/>
          <w:szCs w:val="20"/>
        </w:rPr>
        <w:t xml:space="preserve">che </w:t>
      </w:r>
      <w:r w:rsidR="005271AB" w:rsidRPr="00A51547">
        <w:rPr>
          <w:rFonts w:cs="Arial"/>
          <w:szCs w:val="20"/>
        </w:rPr>
        <w:t>continuano</w:t>
      </w:r>
      <w:r w:rsidR="008C269D" w:rsidRPr="00A51547">
        <w:rPr>
          <w:rFonts w:cs="Arial"/>
          <w:szCs w:val="20"/>
        </w:rPr>
        <w:t xml:space="preserve"> </w:t>
      </w:r>
      <w:r w:rsidR="00085603" w:rsidRPr="00A51547">
        <w:rPr>
          <w:rFonts w:cs="Arial"/>
          <w:szCs w:val="20"/>
        </w:rPr>
        <w:t>la</w:t>
      </w:r>
      <w:r w:rsidR="008C269D" w:rsidRPr="00A51547">
        <w:rPr>
          <w:rFonts w:cs="Arial"/>
          <w:szCs w:val="20"/>
        </w:rPr>
        <w:t xml:space="preserve"> crescita </w:t>
      </w:r>
      <w:r w:rsidR="00F749C1" w:rsidRPr="00A51547">
        <w:rPr>
          <w:rFonts w:cs="Arial"/>
          <w:szCs w:val="20"/>
        </w:rPr>
        <w:t xml:space="preserve">iniziata </w:t>
      </w:r>
      <w:r w:rsidR="00624C08" w:rsidRPr="00A51547">
        <w:rPr>
          <w:rFonts w:cs="Arial"/>
          <w:szCs w:val="20"/>
        </w:rPr>
        <w:t>nel primo trimestre 2018 (+</w:t>
      </w:r>
      <w:r w:rsidR="00C32FEB" w:rsidRPr="00A51547">
        <w:rPr>
          <w:rFonts w:cs="Arial"/>
          <w:szCs w:val="20"/>
        </w:rPr>
        <w:t>4</w:t>
      </w:r>
      <w:r w:rsidR="00D7033E" w:rsidRPr="00A51547">
        <w:rPr>
          <w:rFonts w:cs="Arial"/>
          <w:szCs w:val="20"/>
        </w:rPr>
        <w:t>0</w:t>
      </w:r>
      <w:r w:rsidR="00D04FC2" w:rsidRPr="00A51547">
        <w:rPr>
          <w:rFonts w:cs="Arial"/>
          <w:szCs w:val="20"/>
        </w:rPr>
        <w:t xml:space="preserve"> mila</w:t>
      </w:r>
      <w:r w:rsidR="00624C08" w:rsidRPr="00A51547">
        <w:rPr>
          <w:rFonts w:cs="Arial"/>
          <w:szCs w:val="20"/>
        </w:rPr>
        <w:t>) e proseguita nel secondo (+5</w:t>
      </w:r>
      <w:r w:rsidR="00ED403A" w:rsidRPr="00A51547">
        <w:rPr>
          <w:rFonts w:cs="Arial"/>
          <w:szCs w:val="20"/>
        </w:rPr>
        <w:t>6</w:t>
      </w:r>
      <w:r w:rsidR="00D04FC2" w:rsidRPr="00A51547">
        <w:rPr>
          <w:rFonts w:cs="Arial"/>
          <w:szCs w:val="20"/>
        </w:rPr>
        <w:t xml:space="preserve"> mila</w:t>
      </w:r>
      <w:r w:rsidR="00624C08" w:rsidRPr="00A51547">
        <w:rPr>
          <w:rFonts w:cs="Arial"/>
          <w:szCs w:val="20"/>
        </w:rPr>
        <w:t>)</w:t>
      </w:r>
      <w:r w:rsidR="00503AB9">
        <w:rPr>
          <w:rFonts w:cs="Arial"/>
          <w:szCs w:val="20"/>
        </w:rPr>
        <w:t>,</w:t>
      </w:r>
      <w:r w:rsidR="00624C08" w:rsidRPr="00A51547">
        <w:rPr>
          <w:rFonts w:cs="Arial"/>
          <w:szCs w:val="20"/>
        </w:rPr>
        <w:t xml:space="preserve"> </w:t>
      </w:r>
      <w:r w:rsidR="00C32FEB" w:rsidRPr="00A51547">
        <w:rPr>
          <w:rFonts w:cs="Arial"/>
          <w:szCs w:val="20"/>
        </w:rPr>
        <w:t>terzo (+5</w:t>
      </w:r>
      <w:r w:rsidR="00ED403A" w:rsidRPr="00A51547">
        <w:rPr>
          <w:rFonts w:cs="Arial"/>
          <w:szCs w:val="20"/>
        </w:rPr>
        <w:t>4</w:t>
      </w:r>
      <w:r w:rsidR="00C32FEB" w:rsidRPr="00A51547">
        <w:rPr>
          <w:rFonts w:cs="Arial"/>
          <w:szCs w:val="20"/>
        </w:rPr>
        <w:t xml:space="preserve"> mila)</w:t>
      </w:r>
      <w:r w:rsidR="00ED403A" w:rsidRPr="00A51547">
        <w:rPr>
          <w:rFonts w:cs="Arial"/>
          <w:szCs w:val="20"/>
        </w:rPr>
        <w:t xml:space="preserve"> </w:t>
      </w:r>
      <w:r w:rsidR="00503AB9">
        <w:rPr>
          <w:rFonts w:cs="Arial"/>
          <w:szCs w:val="20"/>
        </w:rPr>
        <w:t xml:space="preserve">e </w:t>
      </w:r>
      <w:r w:rsidR="00ED403A" w:rsidRPr="00A51547">
        <w:rPr>
          <w:rFonts w:cs="Arial"/>
          <w:szCs w:val="20"/>
        </w:rPr>
        <w:t>quarto (+88 mila)</w:t>
      </w:r>
      <w:r w:rsidR="00503AB9">
        <w:rPr>
          <w:rFonts w:cs="Arial"/>
          <w:szCs w:val="20"/>
        </w:rPr>
        <w:t>;</w:t>
      </w:r>
      <w:r w:rsidR="00C32FEB" w:rsidRPr="00A51547">
        <w:rPr>
          <w:rFonts w:cs="Arial"/>
          <w:szCs w:val="20"/>
        </w:rPr>
        <w:t xml:space="preserve"> </w:t>
      </w:r>
      <w:r w:rsidR="000D1DAD" w:rsidRPr="00A51547">
        <w:rPr>
          <w:rFonts w:cs="Arial"/>
          <w:szCs w:val="20"/>
        </w:rPr>
        <w:t xml:space="preserve">per la prima volta dopo </w:t>
      </w:r>
      <w:r w:rsidR="00CB746C">
        <w:rPr>
          <w:rFonts w:cs="Arial"/>
          <w:szCs w:val="20"/>
        </w:rPr>
        <w:t>undici</w:t>
      </w:r>
      <w:r w:rsidR="000D1DAD" w:rsidRPr="00A51547">
        <w:rPr>
          <w:rFonts w:cs="Arial"/>
          <w:szCs w:val="20"/>
        </w:rPr>
        <w:t xml:space="preserve"> trimestri di </w:t>
      </w:r>
      <w:r w:rsidR="007F352B">
        <w:rPr>
          <w:rFonts w:cs="Arial"/>
          <w:szCs w:val="20"/>
        </w:rPr>
        <w:t>aumento</w:t>
      </w:r>
      <w:r w:rsidR="000D1DAD">
        <w:rPr>
          <w:rFonts w:cs="Arial"/>
          <w:szCs w:val="20"/>
        </w:rPr>
        <w:t>, s</w:t>
      </w:r>
      <w:r w:rsidR="000D1DAD" w:rsidRPr="00A51547">
        <w:rPr>
          <w:rFonts w:cs="Arial"/>
          <w:szCs w:val="20"/>
        </w:rPr>
        <w:t xml:space="preserve">i riducono </w:t>
      </w:r>
      <w:r w:rsidR="00154FC1">
        <w:rPr>
          <w:rFonts w:cs="Arial"/>
          <w:szCs w:val="20"/>
        </w:rPr>
        <w:t xml:space="preserve">invece </w:t>
      </w:r>
      <w:r w:rsidR="000D1DAD">
        <w:rPr>
          <w:rFonts w:cs="Arial"/>
          <w:szCs w:val="20"/>
        </w:rPr>
        <w:t>l</w:t>
      </w:r>
      <w:r w:rsidR="000D1DAD" w:rsidRPr="00A51547">
        <w:rPr>
          <w:rFonts w:cs="Arial"/>
          <w:szCs w:val="20"/>
        </w:rPr>
        <w:t>e posizioni a tempo determinato (-69 mila)</w:t>
      </w:r>
      <w:r w:rsidR="000D1DAD">
        <w:rPr>
          <w:rFonts w:cs="Arial"/>
          <w:szCs w:val="20"/>
        </w:rPr>
        <w:t xml:space="preserve"> anche se i</w:t>
      </w:r>
      <w:r w:rsidR="000D1DAD" w:rsidRPr="00A51547">
        <w:rPr>
          <w:rFonts w:cs="Arial"/>
          <w:szCs w:val="20"/>
        </w:rPr>
        <w:t>l numero di attivazioni a tempo determinato</w:t>
      </w:r>
      <w:r w:rsidR="006A2D96">
        <w:rPr>
          <w:rFonts w:cs="Arial"/>
          <w:szCs w:val="20"/>
        </w:rPr>
        <w:t>,</w:t>
      </w:r>
      <w:r w:rsidR="000D1DAD" w:rsidRPr="00A51547">
        <w:rPr>
          <w:rFonts w:cs="Arial"/>
          <w:szCs w:val="20"/>
        </w:rPr>
        <w:t xml:space="preserve"> 2 milioni 20 mila (Tavola 2)</w:t>
      </w:r>
      <w:r w:rsidR="006A2D96">
        <w:rPr>
          <w:rFonts w:cs="Arial"/>
          <w:szCs w:val="20"/>
        </w:rPr>
        <w:t>,</w:t>
      </w:r>
      <w:r w:rsidR="000D1DAD" w:rsidRPr="00A51547">
        <w:rPr>
          <w:rFonts w:cs="Arial"/>
          <w:szCs w:val="20"/>
        </w:rPr>
        <w:t xml:space="preserve"> </w:t>
      </w:r>
      <w:r w:rsidR="006A2D96" w:rsidRPr="00A51547">
        <w:rPr>
          <w:rFonts w:cs="Arial"/>
          <w:szCs w:val="20"/>
        </w:rPr>
        <w:t xml:space="preserve">risulta </w:t>
      </w:r>
      <w:r w:rsidR="000D1DAD" w:rsidRPr="00A51547">
        <w:rPr>
          <w:rFonts w:cs="Arial"/>
          <w:szCs w:val="20"/>
        </w:rPr>
        <w:t>il valore massimo della serie</w:t>
      </w:r>
      <w:r w:rsidR="000D1DAD">
        <w:rPr>
          <w:rFonts w:cs="Arial"/>
          <w:szCs w:val="20"/>
        </w:rPr>
        <w:t>.</w:t>
      </w:r>
      <w:r w:rsidR="000D1DAD" w:rsidRPr="00A51547">
        <w:rPr>
          <w:rFonts w:cs="Arial"/>
          <w:szCs w:val="20"/>
        </w:rPr>
        <w:t xml:space="preserve"> </w:t>
      </w:r>
      <w:r w:rsidR="00154FC1">
        <w:t xml:space="preserve">Le </w:t>
      </w:r>
      <w:r w:rsidR="004407AE">
        <w:t xml:space="preserve">due </w:t>
      </w:r>
      <w:r w:rsidR="00154FC1">
        <w:t>dinamiche per tipologi</w:t>
      </w:r>
      <w:r w:rsidR="004407AE">
        <w:t>a</w:t>
      </w:r>
      <w:r w:rsidR="00154FC1">
        <w:t xml:space="preserve"> di contratto </w:t>
      </w:r>
      <w:r w:rsidR="000D1DAD" w:rsidRPr="00A51547">
        <w:t xml:space="preserve">sono influenzate dal notevole </w:t>
      </w:r>
      <w:r w:rsidR="000D1DAD" w:rsidRPr="004407AE">
        <w:t>aumento delle trasformazioni a tempo indeterminato (+223 mila, +55%</w:t>
      </w:r>
      <w:r w:rsidR="00EA4F0F">
        <w:t xml:space="preserve"> rispetto al quarto trimestre 2018</w:t>
      </w:r>
      <w:r w:rsidR="000D1DAD" w:rsidRPr="004407AE">
        <w:t>) che raggiungono il livello massimo della seri</w:t>
      </w:r>
      <w:r w:rsidR="000D1DAD" w:rsidRPr="00A51547">
        <w:t>e storica contribu</w:t>
      </w:r>
      <w:r w:rsidR="000D1DAD">
        <w:t>endo</w:t>
      </w:r>
      <w:r w:rsidR="000D1DAD" w:rsidRPr="00A51547">
        <w:t xml:space="preserve"> in modo complementare ad accrescere il numero di posizioni a tempo indeterminato </w:t>
      </w:r>
      <w:r w:rsidR="004407AE">
        <w:t>e</w:t>
      </w:r>
      <w:r w:rsidR="000D1DAD">
        <w:t xml:space="preserve"> a diminuire</w:t>
      </w:r>
      <w:r w:rsidR="000D1DAD" w:rsidRPr="00A51547">
        <w:t xml:space="preserve"> </w:t>
      </w:r>
      <w:r w:rsidR="000D1DAD">
        <w:t>quelle</w:t>
      </w:r>
      <w:r w:rsidR="000D1DAD" w:rsidRPr="00A51547">
        <w:t xml:space="preserve"> a termine</w:t>
      </w:r>
      <w:r w:rsidR="00154FC1">
        <w:t xml:space="preserve"> </w:t>
      </w:r>
      <w:r w:rsidR="000D1DAD" w:rsidRPr="00A51547">
        <w:t>(Figura 1).</w:t>
      </w:r>
      <w:r w:rsidR="001F2943">
        <w:t xml:space="preserve"> </w:t>
      </w:r>
      <w:r w:rsidR="00916A80" w:rsidRPr="00A51547">
        <w:rPr>
          <w:rFonts w:cs="Arial"/>
          <w:szCs w:val="20"/>
        </w:rPr>
        <w:t>Anche n</w:t>
      </w:r>
      <w:r w:rsidR="00D779CB" w:rsidRPr="00A51547">
        <w:rPr>
          <w:rFonts w:cs="Arial"/>
          <w:szCs w:val="20"/>
        </w:rPr>
        <w:t xml:space="preserve">ei </w:t>
      </w:r>
      <w:r w:rsidRPr="00A51547">
        <w:rPr>
          <w:rFonts w:cs="Arial"/>
          <w:szCs w:val="20"/>
        </w:rPr>
        <w:t xml:space="preserve">dati tendenziali </w:t>
      </w:r>
      <w:r w:rsidR="005B589D">
        <w:rPr>
          <w:rFonts w:cs="Arial"/>
          <w:szCs w:val="20"/>
        </w:rPr>
        <w:t>l</w:t>
      </w:r>
      <w:r w:rsidR="005B589D" w:rsidRPr="00A51547">
        <w:rPr>
          <w:rFonts w:cs="Arial"/>
          <w:szCs w:val="20"/>
        </w:rPr>
        <w:t xml:space="preserve">e posizioni lavorative a tempo indeterminato presentano un significativo aumento </w:t>
      </w:r>
      <w:r w:rsidR="00783B84">
        <w:rPr>
          <w:rFonts w:cs="Arial"/>
          <w:szCs w:val="20"/>
        </w:rPr>
        <w:t>sulla base dei</w:t>
      </w:r>
      <w:r w:rsidR="00783B84" w:rsidRPr="00A51547">
        <w:rPr>
          <w:rFonts w:cs="Arial"/>
          <w:szCs w:val="20"/>
        </w:rPr>
        <w:t xml:space="preserve"> </w:t>
      </w:r>
      <w:r w:rsidR="005B589D" w:rsidRPr="00A51547">
        <w:rPr>
          <w:rFonts w:cs="Arial"/>
          <w:szCs w:val="20"/>
        </w:rPr>
        <w:t>dati delle CO (+401 mila)</w:t>
      </w:r>
      <w:r w:rsidR="005B589D">
        <w:rPr>
          <w:rFonts w:cs="Arial"/>
          <w:szCs w:val="20"/>
        </w:rPr>
        <w:t>,</w:t>
      </w:r>
      <w:r w:rsidR="005B589D" w:rsidRPr="00A51547">
        <w:rPr>
          <w:rFonts w:cs="Arial"/>
          <w:szCs w:val="20"/>
        </w:rPr>
        <w:t xml:space="preserve"> in accelerazione rispetto ai tre trimestri </w:t>
      </w:r>
      <w:r w:rsidR="005B589D" w:rsidRPr="004C4BA0">
        <w:rPr>
          <w:rFonts w:cs="Arial"/>
          <w:szCs w:val="20"/>
        </w:rPr>
        <w:t>precedenti (+230 mila, +124 mila e +74 mila); una crescita analoga si osserva nei dati Inps (+450 nel primo 2019,</w:t>
      </w:r>
      <w:r w:rsidR="005B589D" w:rsidRPr="004C4BA0" w:rsidDel="00922915">
        <w:rPr>
          <w:rFonts w:cs="Arial"/>
          <w:szCs w:val="20"/>
        </w:rPr>
        <w:t xml:space="preserve"> </w:t>
      </w:r>
      <w:r w:rsidR="005B589D" w:rsidRPr="004C4BA0">
        <w:rPr>
          <w:rFonts w:cs="Arial"/>
          <w:szCs w:val="20"/>
        </w:rPr>
        <w:t>+297 mila</w:t>
      </w:r>
      <w:r w:rsidR="00F10FD1" w:rsidRPr="004C4BA0">
        <w:rPr>
          <w:rFonts w:cs="Arial"/>
          <w:szCs w:val="20"/>
        </w:rPr>
        <w:t xml:space="preserve">, </w:t>
      </w:r>
      <w:r w:rsidR="005B589D" w:rsidRPr="004C4BA0">
        <w:rPr>
          <w:rFonts w:cs="Arial"/>
          <w:szCs w:val="20"/>
        </w:rPr>
        <w:t>+158 mila</w:t>
      </w:r>
      <w:r w:rsidR="00F10FD1" w:rsidRPr="004C4BA0">
        <w:rPr>
          <w:rFonts w:cs="Arial"/>
          <w:szCs w:val="20"/>
        </w:rPr>
        <w:t xml:space="preserve"> e </w:t>
      </w:r>
      <w:r w:rsidR="004C4BA0">
        <w:rPr>
          <w:rFonts w:cs="Arial"/>
          <w:szCs w:val="20"/>
        </w:rPr>
        <w:t>+</w:t>
      </w:r>
      <w:r w:rsidR="00F10FD1" w:rsidRPr="004C4BA0">
        <w:rPr>
          <w:rFonts w:cs="Arial"/>
          <w:szCs w:val="20"/>
        </w:rPr>
        <w:t>67 mila</w:t>
      </w:r>
      <w:r w:rsidR="005B589D" w:rsidRPr="004C4BA0">
        <w:rPr>
          <w:rFonts w:cs="Arial"/>
          <w:szCs w:val="20"/>
        </w:rPr>
        <w:t xml:space="preserve"> nel quarto, terzo e secondo trimestre 2018; Figura 1 e Tavola 1). S</w:t>
      </w:r>
      <w:r w:rsidR="00916A80" w:rsidRPr="004C4BA0">
        <w:rPr>
          <w:rFonts w:cs="Arial"/>
          <w:szCs w:val="20"/>
        </w:rPr>
        <w:t xml:space="preserve">i riducono </w:t>
      </w:r>
      <w:r w:rsidR="005B589D" w:rsidRPr="004C4BA0">
        <w:rPr>
          <w:rFonts w:cs="Arial"/>
          <w:szCs w:val="20"/>
        </w:rPr>
        <w:t>invece,</w:t>
      </w:r>
      <w:r w:rsidR="005B589D">
        <w:rPr>
          <w:rFonts w:cs="Arial"/>
          <w:szCs w:val="20"/>
        </w:rPr>
        <w:t xml:space="preserve"> </w:t>
      </w:r>
      <w:r w:rsidR="00916A80" w:rsidRPr="00A51547">
        <w:rPr>
          <w:rFonts w:cs="Arial"/>
          <w:szCs w:val="20"/>
        </w:rPr>
        <w:t xml:space="preserve">per la prima volta </w:t>
      </w:r>
      <w:r w:rsidR="0050055D" w:rsidRPr="00A51547">
        <w:rPr>
          <w:rFonts w:cs="Arial"/>
          <w:szCs w:val="20"/>
        </w:rPr>
        <w:t xml:space="preserve">dopo </w:t>
      </w:r>
      <w:r w:rsidR="00916A80" w:rsidRPr="00A51547">
        <w:rPr>
          <w:rFonts w:cs="Arial"/>
          <w:szCs w:val="20"/>
        </w:rPr>
        <w:t>undici trimestri</w:t>
      </w:r>
      <w:r w:rsidR="005B589D">
        <w:rPr>
          <w:rFonts w:cs="Arial"/>
          <w:szCs w:val="20"/>
        </w:rPr>
        <w:t>,</w:t>
      </w:r>
      <w:r w:rsidR="00916A80" w:rsidRPr="00A51547">
        <w:rPr>
          <w:rFonts w:cs="Arial"/>
          <w:szCs w:val="20"/>
        </w:rPr>
        <w:t xml:space="preserve"> </w:t>
      </w:r>
      <w:r w:rsidR="00437DE5" w:rsidRPr="00A51547">
        <w:rPr>
          <w:rFonts w:cs="Arial"/>
          <w:szCs w:val="20"/>
        </w:rPr>
        <w:t>le posizioni</w:t>
      </w:r>
      <w:r w:rsidRPr="00A51547">
        <w:rPr>
          <w:rFonts w:cs="Arial"/>
          <w:szCs w:val="20"/>
        </w:rPr>
        <w:t xml:space="preserve"> a tempo determinato </w:t>
      </w:r>
      <w:r w:rsidR="003616E0" w:rsidRPr="00A51547">
        <w:rPr>
          <w:rFonts w:cs="Arial"/>
          <w:szCs w:val="20"/>
        </w:rPr>
        <w:t>(</w:t>
      </w:r>
      <w:r w:rsidR="00916A80" w:rsidRPr="00A51547">
        <w:rPr>
          <w:rFonts w:cs="Arial"/>
          <w:szCs w:val="20"/>
        </w:rPr>
        <w:t>-24</w:t>
      </w:r>
      <w:r w:rsidR="001F591D" w:rsidRPr="00A51547">
        <w:rPr>
          <w:rFonts w:cs="Arial"/>
          <w:szCs w:val="20"/>
        </w:rPr>
        <w:t xml:space="preserve"> </w:t>
      </w:r>
      <w:r w:rsidR="00916A80" w:rsidRPr="00A51547">
        <w:rPr>
          <w:rFonts w:cs="Arial"/>
          <w:szCs w:val="20"/>
        </w:rPr>
        <w:t>mila)</w:t>
      </w:r>
      <w:r w:rsidR="005B589D">
        <w:rPr>
          <w:rFonts w:cs="Arial"/>
          <w:szCs w:val="20"/>
        </w:rPr>
        <w:t>;</w:t>
      </w:r>
      <w:r w:rsidR="00BC46A0" w:rsidRPr="00A51547">
        <w:rPr>
          <w:rFonts w:cs="Arial"/>
          <w:szCs w:val="20"/>
        </w:rPr>
        <w:t xml:space="preserve"> </w:t>
      </w:r>
      <w:r w:rsidR="00C10898">
        <w:rPr>
          <w:rFonts w:cs="Arial"/>
          <w:szCs w:val="20"/>
        </w:rPr>
        <w:t>il calo</w:t>
      </w:r>
      <w:r w:rsidR="00916A80" w:rsidRPr="00A51547">
        <w:rPr>
          <w:rFonts w:cs="Arial"/>
          <w:szCs w:val="20"/>
        </w:rPr>
        <w:t xml:space="preserve"> </w:t>
      </w:r>
      <w:r w:rsidR="00B6743E" w:rsidRPr="00A51547">
        <w:rPr>
          <w:rFonts w:cs="Arial"/>
          <w:szCs w:val="20"/>
        </w:rPr>
        <w:t xml:space="preserve">si </w:t>
      </w:r>
      <w:r w:rsidR="00EA4F0F">
        <w:rPr>
          <w:rFonts w:cs="Arial"/>
          <w:szCs w:val="20"/>
        </w:rPr>
        <w:t>accentua</w:t>
      </w:r>
      <w:r w:rsidR="00B6743E" w:rsidRPr="00A51547">
        <w:rPr>
          <w:rFonts w:cs="Arial"/>
          <w:szCs w:val="20"/>
        </w:rPr>
        <w:t xml:space="preserve"> nei </w:t>
      </w:r>
      <w:r w:rsidRPr="00A51547">
        <w:rPr>
          <w:rFonts w:cs="Arial"/>
          <w:szCs w:val="20"/>
        </w:rPr>
        <w:t>dati Inps (</w:t>
      </w:r>
      <w:r w:rsidR="00916A80" w:rsidRPr="00A51547">
        <w:rPr>
          <w:rFonts w:cs="Arial"/>
          <w:szCs w:val="20"/>
        </w:rPr>
        <w:t>-99</w:t>
      </w:r>
      <w:r w:rsidR="003B351B" w:rsidRPr="00A51547">
        <w:rPr>
          <w:rFonts w:cs="Arial"/>
          <w:szCs w:val="20"/>
        </w:rPr>
        <w:t xml:space="preserve"> </w:t>
      </w:r>
      <w:r w:rsidR="00983FF0" w:rsidRPr="00A51547">
        <w:rPr>
          <w:rFonts w:cs="Arial"/>
          <w:szCs w:val="20"/>
        </w:rPr>
        <w:t>mila</w:t>
      </w:r>
      <w:r w:rsidR="0050055D" w:rsidRPr="00A51547">
        <w:rPr>
          <w:rFonts w:cs="Arial"/>
          <w:szCs w:val="20"/>
        </w:rPr>
        <w:t>)</w:t>
      </w:r>
      <w:r w:rsidR="00983FF0" w:rsidRPr="00A51547">
        <w:rPr>
          <w:rFonts w:cs="Arial"/>
          <w:szCs w:val="20"/>
        </w:rPr>
        <w:t xml:space="preserve"> </w:t>
      </w:r>
      <w:r w:rsidR="003B7F30" w:rsidRPr="00A51547">
        <w:rPr>
          <w:rFonts w:cs="Arial"/>
          <w:szCs w:val="20"/>
        </w:rPr>
        <w:t>che</w:t>
      </w:r>
      <w:r w:rsidRPr="00A51547">
        <w:rPr>
          <w:rFonts w:cs="Arial"/>
          <w:szCs w:val="20"/>
        </w:rPr>
        <w:t xml:space="preserve"> comprendono </w:t>
      </w:r>
      <w:r w:rsidR="003B7F30" w:rsidRPr="00A51547">
        <w:rPr>
          <w:rFonts w:cs="Arial"/>
          <w:szCs w:val="20"/>
        </w:rPr>
        <w:t xml:space="preserve">anche </w:t>
      </w:r>
      <w:r w:rsidRPr="00A51547">
        <w:rPr>
          <w:rFonts w:cs="Arial"/>
          <w:szCs w:val="20"/>
        </w:rPr>
        <w:t>il lavoro in somministrazione</w:t>
      </w:r>
      <w:r w:rsidR="00423E93" w:rsidRPr="00A51547">
        <w:rPr>
          <w:rFonts w:cs="Arial"/>
          <w:szCs w:val="20"/>
        </w:rPr>
        <w:t xml:space="preserve"> e a chiamata</w:t>
      </w:r>
      <w:r w:rsidR="00222239" w:rsidRPr="00A51547">
        <w:rPr>
          <w:rFonts w:cs="Arial"/>
          <w:szCs w:val="20"/>
        </w:rPr>
        <w:t>.</w:t>
      </w:r>
      <w:r w:rsidRPr="00A51547">
        <w:rPr>
          <w:rFonts w:cs="Arial"/>
          <w:szCs w:val="20"/>
        </w:rPr>
        <w:t xml:space="preserve"> </w:t>
      </w:r>
      <w:r w:rsidR="003C63F9" w:rsidRPr="00A83E4B">
        <w:rPr>
          <w:rFonts w:cs="Arial"/>
          <w:szCs w:val="20"/>
        </w:rPr>
        <w:t>In generale,</w:t>
      </w:r>
      <w:r w:rsidR="003C63F9">
        <w:rPr>
          <w:rFonts w:cs="Arial"/>
          <w:szCs w:val="20"/>
        </w:rPr>
        <w:t xml:space="preserve"> </w:t>
      </w:r>
      <w:r w:rsidR="00A83E4B">
        <w:rPr>
          <w:rFonts w:cs="Arial"/>
          <w:szCs w:val="20"/>
        </w:rPr>
        <w:t xml:space="preserve">il </w:t>
      </w:r>
      <w:r w:rsidR="003640D9">
        <w:rPr>
          <w:rFonts w:cs="Arial"/>
          <w:szCs w:val="20"/>
        </w:rPr>
        <w:t>progressivo</w:t>
      </w:r>
      <w:r w:rsidR="00A83E4B">
        <w:rPr>
          <w:rFonts w:cs="Arial"/>
          <w:szCs w:val="20"/>
        </w:rPr>
        <w:t xml:space="preserve"> incremento delle trasformazioni da tempo determinato a tempo indeterminato da un lato è dovuto all’allargamento della platea dei tempi determinati</w:t>
      </w:r>
      <w:r w:rsidR="00A83E4B">
        <w:rPr>
          <w:rStyle w:val="Rimandonotaapidipagina"/>
          <w:szCs w:val="20"/>
        </w:rPr>
        <w:footnoteReference w:id="5"/>
      </w:r>
      <w:r w:rsidR="00A83E4B">
        <w:rPr>
          <w:rFonts w:cs="Arial"/>
          <w:szCs w:val="20"/>
        </w:rPr>
        <w:t xml:space="preserve"> tra il 2017 e il 2018</w:t>
      </w:r>
      <w:r w:rsidR="007566A2">
        <w:rPr>
          <w:rFonts w:cs="Arial"/>
          <w:szCs w:val="20"/>
        </w:rPr>
        <w:t xml:space="preserve"> e</w:t>
      </w:r>
      <w:r w:rsidR="00A83E4B">
        <w:rPr>
          <w:rFonts w:cs="Arial"/>
          <w:szCs w:val="20"/>
        </w:rPr>
        <w:t>, dall’altro</w:t>
      </w:r>
      <w:r w:rsidR="007566A2">
        <w:rPr>
          <w:rFonts w:cs="Arial"/>
          <w:szCs w:val="20"/>
        </w:rPr>
        <w:t>,</w:t>
      </w:r>
      <w:r w:rsidR="00A83E4B">
        <w:rPr>
          <w:rFonts w:cs="Arial"/>
          <w:szCs w:val="20"/>
        </w:rPr>
        <w:t xml:space="preserve"> si lega sia all’esonero contributivo per i giovani fino a 3</w:t>
      </w:r>
      <w:r w:rsidR="00EE0EB9">
        <w:rPr>
          <w:rFonts w:cs="Arial"/>
          <w:szCs w:val="20"/>
        </w:rPr>
        <w:t>4</w:t>
      </w:r>
      <w:r w:rsidR="00A83E4B">
        <w:rPr>
          <w:rFonts w:cs="Arial"/>
          <w:szCs w:val="20"/>
        </w:rPr>
        <w:t xml:space="preserve"> anni sia agli effetti della legge 96/2018</w:t>
      </w:r>
      <w:r w:rsidR="007F352B">
        <w:rPr>
          <w:rFonts w:cs="Arial"/>
          <w:szCs w:val="20"/>
        </w:rPr>
        <w:t xml:space="preserve"> (cosiddetto </w:t>
      </w:r>
      <w:r w:rsidR="003640D9">
        <w:rPr>
          <w:rFonts w:cs="Arial"/>
          <w:szCs w:val="20"/>
        </w:rPr>
        <w:t>“</w:t>
      </w:r>
      <w:r w:rsidR="007F352B">
        <w:rPr>
          <w:rFonts w:cs="Arial"/>
          <w:szCs w:val="20"/>
        </w:rPr>
        <w:t>Decreto dignità</w:t>
      </w:r>
      <w:r w:rsidR="003640D9">
        <w:rPr>
          <w:rFonts w:cs="Arial"/>
          <w:szCs w:val="20"/>
        </w:rPr>
        <w:t>”</w:t>
      </w:r>
      <w:r w:rsidR="007F352B">
        <w:rPr>
          <w:rFonts w:cs="Arial"/>
          <w:szCs w:val="20"/>
        </w:rPr>
        <w:t>)</w:t>
      </w:r>
      <w:r w:rsidR="007566A2">
        <w:rPr>
          <w:rFonts w:cs="Arial"/>
          <w:szCs w:val="20"/>
        </w:rPr>
        <w:t>, entrata in vigore da</w:t>
      </w:r>
      <w:r w:rsidR="007566A2" w:rsidRPr="007566A2">
        <w:rPr>
          <w:rFonts w:cs="Arial"/>
          <w:szCs w:val="20"/>
        </w:rPr>
        <w:t xml:space="preserve"> </w:t>
      </w:r>
      <w:r w:rsidR="007566A2">
        <w:rPr>
          <w:rFonts w:cs="Arial"/>
          <w:szCs w:val="20"/>
        </w:rPr>
        <w:t>novembre 2018</w:t>
      </w:r>
      <w:r w:rsidR="00A83E4B">
        <w:rPr>
          <w:rFonts w:cs="Arial"/>
          <w:szCs w:val="20"/>
        </w:rPr>
        <w:t xml:space="preserve">.    </w:t>
      </w:r>
    </w:p>
    <w:p w14:paraId="72BB08F4" w14:textId="08C4983A" w:rsidR="004176C3" w:rsidRPr="00A4252C" w:rsidRDefault="004176C3" w:rsidP="00394FA3">
      <w:pPr>
        <w:pStyle w:val="Corpotesto"/>
        <w:tabs>
          <w:tab w:val="clear" w:pos="-894"/>
          <w:tab w:val="clear" w:pos="-567"/>
          <w:tab w:val="clear" w:pos="-1"/>
          <w:tab w:val="clear" w:pos="565"/>
          <w:tab w:val="clear" w:pos="1131"/>
          <w:tab w:val="clear" w:pos="1697"/>
          <w:tab w:val="clear" w:pos="2263"/>
          <w:tab w:val="clear" w:pos="2829"/>
          <w:tab w:val="clear" w:pos="3395"/>
          <w:tab w:val="clear" w:pos="3961"/>
          <w:tab w:val="clear" w:pos="4527"/>
          <w:tab w:val="clear" w:pos="5093"/>
          <w:tab w:val="clear" w:pos="5659"/>
          <w:tab w:val="clear" w:pos="6225"/>
          <w:tab w:val="clear" w:pos="6791"/>
          <w:tab w:val="clear" w:pos="7357"/>
          <w:tab w:val="clear" w:pos="7923"/>
          <w:tab w:val="clear" w:pos="8489"/>
          <w:tab w:val="clear" w:pos="9055"/>
          <w:tab w:val="clear" w:pos="9621"/>
        </w:tabs>
        <w:spacing w:after="80" w:line="240" w:lineRule="auto"/>
        <w:jc w:val="left"/>
        <w:rPr>
          <w:rFonts w:ascii="Arial Narrow" w:hAnsi="Arial Narrow" w:cs="Arial"/>
          <w:color w:val="auto"/>
          <w:kern w:val="28"/>
          <w:sz w:val="19"/>
          <w:szCs w:val="19"/>
          <w:lang w:eastAsia="en-US"/>
        </w:rPr>
      </w:pPr>
      <w:r w:rsidRPr="009264AB">
        <w:rPr>
          <w:rFonts w:ascii="Arial Narrow" w:hAnsi="Arial Narrow" w:cs="Arial"/>
          <w:b/>
          <w:color w:val="17365D"/>
          <w:kern w:val="28"/>
          <w:szCs w:val="22"/>
          <w:lang w:eastAsia="en-US"/>
        </w:rPr>
        <w:t xml:space="preserve">TAVOLA </w:t>
      </w:r>
      <w:r w:rsidR="009C449B" w:rsidRPr="009264AB">
        <w:rPr>
          <w:rFonts w:ascii="Arial Narrow" w:hAnsi="Arial Narrow" w:cs="Arial"/>
          <w:b/>
          <w:color w:val="17365D"/>
          <w:kern w:val="28"/>
          <w:szCs w:val="22"/>
          <w:lang w:eastAsia="en-US"/>
        </w:rPr>
        <w:t>4</w:t>
      </w:r>
      <w:r w:rsidRPr="009264AB">
        <w:rPr>
          <w:rFonts w:ascii="Arial Narrow" w:hAnsi="Arial Narrow" w:cs="Arial"/>
          <w:b/>
          <w:color w:val="17365D"/>
          <w:kern w:val="28"/>
          <w:szCs w:val="22"/>
          <w:lang w:eastAsia="en-US"/>
        </w:rPr>
        <w:t>. POSIZIONI LAVORATIVE DIPENDENTI NELLE IMPRESE PER SETTORE DI ATTIVITÀ ECONOMICA</w:t>
      </w:r>
      <w:r w:rsidR="00915CDA" w:rsidRPr="009264AB">
        <w:rPr>
          <w:rFonts w:ascii="Arial Narrow" w:hAnsi="Arial Narrow" w:cs="Arial"/>
          <w:b/>
          <w:color w:val="17365D"/>
          <w:kern w:val="28"/>
          <w:szCs w:val="22"/>
          <w:lang w:eastAsia="en-US"/>
        </w:rPr>
        <w:t xml:space="preserve"> (a)</w:t>
      </w:r>
      <w:r w:rsidRPr="009264AB">
        <w:rPr>
          <w:rFonts w:ascii="Arial Narrow" w:hAnsi="Arial Narrow" w:cs="Arial"/>
          <w:caps/>
          <w:color w:val="5F5F5F"/>
          <w:sz w:val="18"/>
          <w:szCs w:val="18"/>
        </w:rPr>
        <w:t xml:space="preserve">. </w:t>
      </w:r>
      <w:r w:rsidRPr="009264AB">
        <w:rPr>
          <w:rFonts w:ascii="Arial Narrow" w:hAnsi="Arial Narrow" w:cs="Arial"/>
          <w:caps/>
          <w:color w:val="5F5F5F"/>
          <w:sz w:val="18"/>
          <w:szCs w:val="18"/>
        </w:rPr>
        <w:br/>
      </w:r>
      <w:r w:rsidRPr="009264AB">
        <w:rPr>
          <w:rFonts w:ascii="Arial Narrow" w:hAnsi="Arial Narrow" w:cs="Arial"/>
          <w:color w:val="auto"/>
          <w:kern w:val="28"/>
          <w:sz w:val="19"/>
          <w:szCs w:val="19"/>
          <w:lang w:eastAsia="en-US"/>
        </w:rPr>
        <w:t>I trimestre 201</w:t>
      </w:r>
      <w:r w:rsidR="00954F12" w:rsidRPr="009264AB">
        <w:rPr>
          <w:rFonts w:ascii="Arial Narrow" w:hAnsi="Arial Narrow" w:cs="Arial"/>
          <w:color w:val="auto"/>
          <w:kern w:val="28"/>
          <w:sz w:val="19"/>
          <w:szCs w:val="19"/>
          <w:lang w:eastAsia="en-US"/>
        </w:rPr>
        <w:t>9</w:t>
      </w:r>
      <w:r w:rsidRPr="009264AB">
        <w:rPr>
          <w:rFonts w:ascii="Arial Narrow" w:hAnsi="Arial Narrow" w:cs="Arial"/>
          <w:color w:val="auto"/>
          <w:kern w:val="28"/>
          <w:sz w:val="19"/>
          <w:szCs w:val="19"/>
          <w:lang w:eastAsia="en-US"/>
        </w:rPr>
        <w:t>, valori in migliaia e variazioni percentuali congiunturali e tendenziali</w:t>
      </w:r>
      <w:r w:rsidRPr="00A4252C">
        <w:rPr>
          <w:rFonts w:ascii="Arial Narrow" w:hAnsi="Arial Narrow" w:cs="Arial"/>
          <w:color w:val="auto"/>
          <w:kern w:val="28"/>
          <w:sz w:val="19"/>
          <w:szCs w:val="19"/>
          <w:lang w:eastAsia="en-US"/>
        </w:rPr>
        <w:t xml:space="preserve"> </w:t>
      </w:r>
    </w:p>
    <w:tbl>
      <w:tblPr>
        <w:tblW w:w="9645" w:type="dxa"/>
        <w:tblInd w:w="70" w:type="dxa"/>
        <w:tblBorders>
          <w:top w:val="single" w:sz="4" w:space="0" w:color="333333"/>
          <w:bottom w:val="single" w:sz="4" w:space="0" w:color="333333"/>
          <w:insideH w:val="single" w:sz="4" w:space="0" w:color="333333"/>
        </w:tblBorders>
        <w:tblCellMar>
          <w:left w:w="70" w:type="dxa"/>
          <w:right w:w="70" w:type="dxa"/>
        </w:tblCellMar>
        <w:tblLook w:val="00A0" w:firstRow="1" w:lastRow="0" w:firstColumn="1" w:lastColumn="0" w:noHBand="0" w:noVBand="0"/>
      </w:tblPr>
      <w:tblGrid>
        <w:gridCol w:w="5732"/>
        <w:gridCol w:w="981"/>
        <w:gridCol w:w="1640"/>
        <w:gridCol w:w="1292"/>
      </w:tblGrid>
      <w:tr w:rsidR="004176C3" w:rsidRPr="00A4252C" w14:paraId="1E3509D0" w14:textId="77777777" w:rsidTr="00EC27FB">
        <w:trPr>
          <w:trHeight w:val="255"/>
        </w:trPr>
        <w:tc>
          <w:tcPr>
            <w:tcW w:w="5732" w:type="dxa"/>
            <w:vMerge w:val="restart"/>
            <w:vAlign w:val="center"/>
          </w:tcPr>
          <w:p w14:paraId="0C537EB1" w14:textId="77777777" w:rsidR="004176C3" w:rsidRPr="00A4252C" w:rsidRDefault="004176C3" w:rsidP="00CE3490">
            <w:pPr>
              <w:spacing w:before="40" w:after="20"/>
              <w:ind w:leftChars="-31" w:left="7" w:hangingChars="38" w:hanging="69"/>
              <w:rPr>
                <w:rFonts w:ascii="Arial Narrow" w:hAnsi="Arial Narrow"/>
                <w:b/>
                <w:bCs/>
                <w:color w:val="000000"/>
                <w:sz w:val="18"/>
                <w:szCs w:val="18"/>
                <w:lang w:eastAsia="it-IT"/>
              </w:rPr>
            </w:pPr>
            <w:r w:rsidRPr="00A4252C">
              <w:rPr>
                <w:rFonts w:ascii="Arial Narrow" w:hAnsi="Arial Narrow"/>
                <w:b/>
                <w:bCs/>
                <w:color w:val="000000"/>
                <w:sz w:val="18"/>
                <w:szCs w:val="18"/>
                <w:lang w:eastAsia="it-IT"/>
              </w:rPr>
              <w:t>SETTORI</w:t>
            </w:r>
            <w:r w:rsidRPr="00A4252C">
              <w:rPr>
                <w:rFonts w:ascii="Arial Narrow" w:hAnsi="Arial Narrow"/>
                <w:b/>
                <w:bCs/>
                <w:color w:val="FFFFFF"/>
                <w:sz w:val="18"/>
                <w:szCs w:val="18"/>
                <w:lang w:eastAsia="it-IT"/>
              </w:rPr>
              <w:t> </w:t>
            </w:r>
          </w:p>
        </w:tc>
        <w:tc>
          <w:tcPr>
            <w:tcW w:w="3913" w:type="dxa"/>
            <w:gridSpan w:val="3"/>
            <w:shd w:val="clear" w:color="auto" w:fill="17365D"/>
            <w:vAlign w:val="center"/>
          </w:tcPr>
          <w:p w14:paraId="7A2FFE20" w14:textId="77777777" w:rsidR="004176C3" w:rsidRPr="00EC27FB" w:rsidRDefault="004176C3" w:rsidP="00CE3490">
            <w:pPr>
              <w:spacing w:before="40" w:after="20"/>
              <w:jc w:val="center"/>
              <w:rPr>
                <w:rFonts w:ascii="Arial Narrow" w:hAnsi="Arial Narrow"/>
                <w:b/>
                <w:bCs/>
                <w:color w:val="FFFFFF" w:themeColor="background1"/>
                <w:sz w:val="16"/>
                <w:szCs w:val="16"/>
                <w:lang w:eastAsia="it-IT"/>
              </w:rPr>
            </w:pPr>
            <w:r w:rsidRPr="00EC27FB">
              <w:rPr>
                <w:rFonts w:ascii="Arial Narrow" w:hAnsi="Arial Narrow"/>
                <w:b/>
                <w:bCs/>
                <w:color w:val="FFFFFF" w:themeColor="background1"/>
                <w:sz w:val="16"/>
                <w:szCs w:val="16"/>
                <w:lang w:eastAsia="it-IT"/>
              </w:rPr>
              <w:t>Posizioni lavorative</w:t>
            </w:r>
          </w:p>
        </w:tc>
      </w:tr>
      <w:tr w:rsidR="0079220E" w:rsidRPr="00A4252C" w14:paraId="597C0310" w14:textId="77777777" w:rsidTr="00CE3490">
        <w:trPr>
          <w:trHeight w:val="255"/>
        </w:trPr>
        <w:tc>
          <w:tcPr>
            <w:tcW w:w="5732" w:type="dxa"/>
            <w:vMerge/>
            <w:vAlign w:val="center"/>
          </w:tcPr>
          <w:p w14:paraId="73C63186" w14:textId="77777777" w:rsidR="0079220E" w:rsidRPr="00A4252C" w:rsidRDefault="0079220E" w:rsidP="00CE3490">
            <w:pPr>
              <w:spacing w:before="40" w:after="20"/>
              <w:ind w:firstLineChars="700" w:firstLine="1124"/>
              <w:rPr>
                <w:rFonts w:ascii="Arial Narrow" w:hAnsi="Arial Narrow"/>
                <w:b/>
                <w:bCs/>
                <w:color w:val="000000"/>
                <w:sz w:val="16"/>
                <w:szCs w:val="16"/>
                <w:lang w:eastAsia="it-IT"/>
              </w:rPr>
            </w:pPr>
          </w:p>
        </w:tc>
        <w:tc>
          <w:tcPr>
            <w:tcW w:w="2621" w:type="dxa"/>
            <w:gridSpan w:val="2"/>
            <w:shd w:val="clear" w:color="auto" w:fill="F2F2F2" w:themeFill="background1" w:themeFillShade="F2"/>
            <w:vAlign w:val="center"/>
          </w:tcPr>
          <w:p w14:paraId="23FAAF32" w14:textId="31DF6F14" w:rsidR="0079220E" w:rsidRPr="00A4252C" w:rsidRDefault="0079220E" w:rsidP="00CE3490">
            <w:pPr>
              <w:spacing w:before="40" w:after="20"/>
              <w:jc w:val="center"/>
              <w:rPr>
                <w:rFonts w:ascii="Arial Narrow" w:hAnsi="Arial Narrow"/>
                <w:b/>
                <w:bCs/>
                <w:caps/>
                <w:sz w:val="16"/>
                <w:szCs w:val="16"/>
                <w:lang w:eastAsia="it-IT"/>
              </w:rPr>
            </w:pPr>
            <w:r w:rsidRPr="00A4252C">
              <w:rPr>
                <w:rFonts w:ascii="Arial Narrow" w:hAnsi="Arial Narrow"/>
                <w:b/>
                <w:bCs/>
                <w:caps/>
                <w:sz w:val="16"/>
                <w:szCs w:val="16"/>
                <w:lang w:eastAsia="it-IT"/>
              </w:rPr>
              <w:t>Dati destagionalizzati</w:t>
            </w:r>
          </w:p>
        </w:tc>
        <w:tc>
          <w:tcPr>
            <w:tcW w:w="1292" w:type="dxa"/>
            <w:vAlign w:val="center"/>
          </w:tcPr>
          <w:p w14:paraId="631FE408" w14:textId="77777777" w:rsidR="0079220E" w:rsidRPr="00A4252C" w:rsidRDefault="0079220E" w:rsidP="00CE3490">
            <w:pPr>
              <w:spacing w:before="40" w:after="20"/>
              <w:jc w:val="center"/>
              <w:rPr>
                <w:rFonts w:ascii="Arial Narrow" w:hAnsi="Arial Narrow"/>
                <w:b/>
                <w:bCs/>
                <w:caps/>
                <w:sz w:val="16"/>
                <w:szCs w:val="16"/>
                <w:lang w:eastAsia="it-IT"/>
              </w:rPr>
            </w:pPr>
            <w:r w:rsidRPr="00A4252C">
              <w:rPr>
                <w:rFonts w:ascii="Arial Narrow" w:hAnsi="Arial Narrow"/>
                <w:b/>
                <w:bCs/>
                <w:caps/>
                <w:sz w:val="16"/>
                <w:szCs w:val="16"/>
                <w:lang w:eastAsia="it-IT"/>
              </w:rPr>
              <w:t>Dati grezzi</w:t>
            </w:r>
          </w:p>
        </w:tc>
      </w:tr>
      <w:tr w:rsidR="0079220E" w:rsidRPr="00A4252C" w14:paraId="39E4D183" w14:textId="77777777" w:rsidTr="00CE3490">
        <w:trPr>
          <w:trHeight w:val="255"/>
        </w:trPr>
        <w:tc>
          <w:tcPr>
            <w:tcW w:w="5732" w:type="dxa"/>
            <w:vMerge/>
            <w:vAlign w:val="center"/>
          </w:tcPr>
          <w:p w14:paraId="058E55D5" w14:textId="77777777" w:rsidR="0079220E" w:rsidRPr="00A4252C" w:rsidRDefault="0079220E" w:rsidP="00CE3490">
            <w:pPr>
              <w:spacing w:before="40" w:after="20"/>
              <w:ind w:firstLineChars="700" w:firstLine="1124"/>
              <w:rPr>
                <w:rFonts w:ascii="Arial Narrow" w:hAnsi="Arial Narrow"/>
                <w:b/>
                <w:bCs/>
                <w:color w:val="000000"/>
                <w:sz w:val="16"/>
                <w:szCs w:val="16"/>
                <w:lang w:eastAsia="it-IT"/>
              </w:rPr>
            </w:pPr>
          </w:p>
        </w:tc>
        <w:tc>
          <w:tcPr>
            <w:tcW w:w="981" w:type="dxa"/>
            <w:shd w:val="clear" w:color="auto" w:fill="F2F2F2"/>
            <w:vAlign w:val="center"/>
          </w:tcPr>
          <w:p w14:paraId="407F77C3" w14:textId="77777777" w:rsidR="0079220E" w:rsidRPr="00A4252C" w:rsidRDefault="0079220E" w:rsidP="00CE3490">
            <w:pPr>
              <w:spacing w:before="40" w:after="20"/>
              <w:jc w:val="center"/>
              <w:rPr>
                <w:rFonts w:ascii="Arial Narrow" w:hAnsi="Arial Narrow"/>
                <w:b/>
                <w:color w:val="000000"/>
                <w:sz w:val="16"/>
                <w:szCs w:val="16"/>
                <w:lang w:eastAsia="it-IT"/>
              </w:rPr>
            </w:pPr>
            <w:r w:rsidRPr="00A4252C">
              <w:rPr>
                <w:rFonts w:ascii="Arial Narrow" w:hAnsi="Arial Narrow"/>
                <w:b/>
                <w:color w:val="000000"/>
                <w:sz w:val="16"/>
                <w:szCs w:val="16"/>
                <w:lang w:eastAsia="it-IT"/>
              </w:rPr>
              <w:t>Valori in migliaia</w:t>
            </w:r>
          </w:p>
        </w:tc>
        <w:tc>
          <w:tcPr>
            <w:tcW w:w="1640" w:type="dxa"/>
            <w:shd w:val="clear" w:color="auto" w:fill="auto"/>
            <w:vAlign w:val="center"/>
          </w:tcPr>
          <w:p w14:paraId="4104F2A2" w14:textId="4358EFD8" w:rsidR="0079220E" w:rsidRPr="00A4252C" w:rsidRDefault="005B20A7" w:rsidP="00CE3490">
            <w:pPr>
              <w:spacing w:before="40" w:after="20"/>
              <w:jc w:val="center"/>
              <w:rPr>
                <w:rFonts w:ascii="Arial Narrow" w:hAnsi="Arial Narrow"/>
                <w:b/>
                <w:color w:val="000000"/>
                <w:sz w:val="16"/>
                <w:szCs w:val="16"/>
                <w:lang w:eastAsia="it-IT"/>
              </w:rPr>
            </w:pPr>
            <w:r w:rsidRPr="00A4252C">
              <w:rPr>
                <w:rFonts w:ascii="Arial Narrow" w:hAnsi="Arial Narrow"/>
                <w:b/>
                <w:color w:val="000000"/>
                <w:sz w:val="16"/>
                <w:szCs w:val="16"/>
                <w:lang w:eastAsia="it-IT"/>
              </w:rPr>
              <w:t>Variazioni congiunturali (%)</w:t>
            </w:r>
          </w:p>
        </w:tc>
        <w:tc>
          <w:tcPr>
            <w:tcW w:w="1292" w:type="dxa"/>
            <w:shd w:val="clear" w:color="auto" w:fill="F2F2F2"/>
            <w:vAlign w:val="center"/>
          </w:tcPr>
          <w:p w14:paraId="75DCFD0D" w14:textId="77777777" w:rsidR="0079220E" w:rsidRPr="00A4252C" w:rsidRDefault="0079220E" w:rsidP="00CE3490">
            <w:pPr>
              <w:spacing w:before="40" w:after="20"/>
              <w:jc w:val="center"/>
              <w:rPr>
                <w:rFonts w:ascii="Arial Narrow" w:hAnsi="Arial Narrow"/>
                <w:b/>
                <w:color w:val="000000"/>
                <w:sz w:val="16"/>
                <w:szCs w:val="16"/>
                <w:lang w:eastAsia="it-IT"/>
              </w:rPr>
            </w:pPr>
            <w:r w:rsidRPr="00A4252C">
              <w:rPr>
                <w:rFonts w:ascii="Arial Narrow" w:hAnsi="Arial Narrow"/>
                <w:b/>
                <w:color w:val="000000"/>
                <w:sz w:val="16"/>
                <w:szCs w:val="16"/>
                <w:lang w:eastAsia="it-IT"/>
              </w:rPr>
              <w:t>Variazioni tendenziali (%)</w:t>
            </w:r>
          </w:p>
        </w:tc>
      </w:tr>
      <w:tr w:rsidR="0079220E" w:rsidRPr="00A4252C" w14:paraId="5E7D4693" w14:textId="77777777" w:rsidTr="00CE3490">
        <w:trPr>
          <w:trHeight w:val="255"/>
        </w:trPr>
        <w:tc>
          <w:tcPr>
            <w:tcW w:w="5732" w:type="dxa"/>
            <w:vMerge/>
            <w:shd w:val="clear" w:color="000000" w:fill="FFFFFF"/>
            <w:vAlign w:val="center"/>
          </w:tcPr>
          <w:p w14:paraId="1A4656C0" w14:textId="77777777" w:rsidR="0079220E" w:rsidRPr="00A4252C" w:rsidRDefault="0079220E" w:rsidP="00CE3490">
            <w:pPr>
              <w:spacing w:before="40" w:after="20"/>
              <w:ind w:firstLineChars="700" w:firstLine="1124"/>
              <w:rPr>
                <w:rFonts w:ascii="Arial Narrow" w:hAnsi="Arial Narrow"/>
                <w:b/>
                <w:bCs/>
                <w:color w:val="FFFFFF"/>
                <w:sz w:val="16"/>
                <w:szCs w:val="16"/>
                <w:lang w:eastAsia="it-IT"/>
              </w:rPr>
            </w:pPr>
          </w:p>
        </w:tc>
        <w:tc>
          <w:tcPr>
            <w:tcW w:w="981" w:type="dxa"/>
            <w:vAlign w:val="center"/>
          </w:tcPr>
          <w:p w14:paraId="177AB428" w14:textId="237ED5FC" w:rsidR="0079220E" w:rsidRPr="00A4252C" w:rsidRDefault="0079220E" w:rsidP="00EC27FB">
            <w:pPr>
              <w:spacing w:before="40" w:after="20"/>
              <w:jc w:val="center"/>
              <w:rPr>
                <w:rFonts w:ascii="Arial Narrow" w:hAnsi="Arial Narrow"/>
                <w:bCs/>
                <w:color w:val="000000"/>
                <w:sz w:val="16"/>
                <w:szCs w:val="16"/>
                <w:lang w:eastAsia="it-IT"/>
              </w:rPr>
            </w:pPr>
            <w:r w:rsidRPr="00A4252C">
              <w:rPr>
                <w:rFonts w:ascii="Arial Narrow" w:hAnsi="Arial Narrow"/>
                <w:bCs/>
                <w:color w:val="000000"/>
                <w:sz w:val="16"/>
                <w:szCs w:val="16"/>
                <w:lang w:eastAsia="it-IT"/>
              </w:rPr>
              <w:t>I 201</w:t>
            </w:r>
            <w:r w:rsidR="00954F12">
              <w:rPr>
                <w:rFonts w:ascii="Arial Narrow" w:hAnsi="Arial Narrow"/>
                <w:bCs/>
                <w:color w:val="000000"/>
                <w:sz w:val="16"/>
                <w:szCs w:val="16"/>
                <w:lang w:eastAsia="it-IT"/>
              </w:rPr>
              <w:t>9</w:t>
            </w:r>
          </w:p>
        </w:tc>
        <w:tc>
          <w:tcPr>
            <w:tcW w:w="1640" w:type="dxa"/>
            <w:vAlign w:val="center"/>
          </w:tcPr>
          <w:p w14:paraId="272429D9" w14:textId="0A8ED653" w:rsidR="0079220E" w:rsidRPr="00A4252C" w:rsidRDefault="0079220E" w:rsidP="00EC27FB">
            <w:pPr>
              <w:spacing w:before="40" w:after="20"/>
              <w:jc w:val="center"/>
              <w:rPr>
                <w:rFonts w:ascii="Arial Narrow" w:hAnsi="Arial Narrow"/>
                <w:bCs/>
                <w:color w:val="000000"/>
                <w:sz w:val="16"/>
                <w:szCs w:val="16"/>
                <w:u w:val="single"/>
                <w:lang w:eastAsia="it-IT"/>
              </w:rPr>
            </w:pPr>
            <w:r w:rsidRPr="00A4252C">
              <w:rPr>
                <w:rFonts w:ascii="Arial Narrow" w:hAnsi="Arial Narrow"/>
                <w:bCs/>
                <w:color w:val="000000"/>
                <w:sz w:val="16"/>
                <w:szCs w:val="16"/>
                <w:u w:val="single"/>
                <w:lang w:eastAsia="it-IT"/>
              </w:rPr>
              <w:t>I 201</w:t>
            </w:r>
            <w:r w:rsidR="00954F12">
              <w:rPr>
                <w:rFonts w:ascii="Arial Narrow" w:hAnsi="Arial Narrow"/>
                <w:bCs/>
                <w:color w:val="000000"/>
                <w:sz w:val="16"/>
                <w:szCs w:val="16"/>
                <w:u w:val="single"/>
                <w:lang w:eastAsia="it-IT"/>
              </w:rPr>
              <w:t>9</w:t>
            </w:r>
          </w:p>
          <w:p w14:paraId="604D476B" w14:textId="1521403C" w:rsidR="0079220E" w:rsidRPr="00A4252C" w:rsidRDefault="0079220E" w:rsidP="00EC27FB">
            <w:pPr>
              <w:spacing w:before="40" w:after="20"/>
              <w:jc w:val="center"/>
              <w:rPr>
                <w:rFonts w:ascii="Arial Narrow" w:hAnsi="Arial Narrow"/>
                <w:bCs/>
                <w:color w:val="000000"/>
                <w:sz w:val="16"/>
                <w:szCs w:val="16"/>
                <w:u w:val="single"/>
                <w:lang w:eastAsia="it-IT"/>
              </w:rPr>
            </w:pPr>
            <w:r w:rsidRPr="00A4252C">
              <w:rPr>
                <w:rFonts w:ascii="Arial Narrow" w:hAnsi="Arial Narrow"/>
                <w:bCs/>
                <w:color w:val="000000"/>
                <w:sz w:val="16"/>
                <w:szCs w:val="16"/>
                <w:lang w:eastAsia="it-IT"/>
              </w:rPr>
              <w:t>I</w:t>
            </w:r>
            <w:r w:rsidR="00954F12">
              <w:rPr>
                <w:rFonts w:ascii="Arial Narrow" w:hAnsi="Arial Narrow"/>
                <w:bCs/>
                <w:color w:val="000000"/>
                <w:sz w:val="16"/>
                <w:szCs w:val="16"/>
                <w:lang w:eastAsia="it-IT"/>
              </w:rPr>
              <w:t>V</w:t>
            </w:r>
            <w:r w:rsidRPr="00A4252C">
              <w:rPr>
                <w:rFonts w:ascii="Arial Narrow" w:hAnsi="Arial Narrow"/>
                <w:bCs/>
                <w:color w:val="000000"/>
                <w:sz w:val="16"/>
                <w:szCs w:val="16"/>
                <w:lang w:eastAsia="it-IT"/>
              </w:rPr>
              <w:t xml:space="preserve"> 201</w:t>
            </w:r>
            <w:r w:rsidR="00EF1FBD" w:rsidRPr="00A4252C">
              <w:rPr>
                <w:rFonts w:ascii="Arial Narrow" w:hAnsi="Arial Narrow"/>
                <w:bCs/>
                <w:color w:val="000000"/>
                <w:sz w:val="16"/>
                <w:szCs w:val="16"/>
                <w:lang w:eastAsia="it-IT"/>
              </w:rPr>
              <w:t>8</w:t>
            </w:r>
          </w:p>
        </w:tc>
        <w:tc>
          <w:tcPr>
            <w:tcW w:w="1292" w:type="dxa"/>
            <w:vAlign w:val="center"/>
          </w:tcPr>
          <w:p w14:paraId="0FB9BCED" w14:textId="6E453D6E" w:rsidR="0079220E" w:rsidRPr="00A4252C" w:rsidRDefault="0079220E" w:rsidP="00EC27FB">
            <w:pPr>
              <w:spacing w:before="40" w:after="20"/>
              <w:jc w:val="center"/>
              <w:rPr>
                <w:rFonts w:ascii="Arial Narrow" w:hAnsi="Arial Narrow"/>
                <w:bCs/>
                <w:color w:val="000000"/>
                <w:sz w:val="16"/>
                <w:szCs w:val="16"/>
                <w:u w:val="single"/>
                <w:lang w:eastAsia="it-IT"/>
              </w:rPr>
            </w:pPr>
            <w:r w:rsidRPr="00A4252C">
              <w:rPr>
                <w:rFonts w:ascii="Arial Narrow" w:hAnsi="Arial Narrow"/>
                <w:bCs/>
                <w:color w:val="000000"/>
                <w:sz w:val="16"/>
                <w:szCs w:val="16"/>
                <w:u w:val="single"/>
                <w:lang w:eastAsia="it-IT"/>
              </w:rPr>
              <w:t>I 201</w:t>
            </w:r>
            <w:r w:rsidR="00954F12">
              <w:rPr>
                <w:rFonts w:ascii="Arial Narrow" w:hAnsi="Arial Narrow"/>
                <w:bCs/>
                <w:color w:val="000000"/>
                <w:sz w:val="16"/>
                <w:szCs w:val="16"/>
                <w:u w:val="single"/>
                <w:lang w:eastAsia="it-IT"/>
              </w:rPr>
              <w:t>9</w:t>
            </w:r>
          </w:p>
          <w:p w14:paraId="63917689" w14:textId="48CE34D7" w:rsidR="0079220E" w:rsidRPr="00A4252C" w:rsidRDefault="0079220E" w:rsidP="00EC27FB">
            <w:pPr>
              <w:spacing w:before="40" w:after="20"/>
              <w:jc w:val="center"/>
              <w:rPr>
                <w:rFonts w:ascii="Arial Narrow" w:hAnsi="Arial Narrow"/>
                <w:bCs/>
                <w:color w:val="000000"/>
                <w:sz w:val="16"/>
                <w:szCs w:val="16"/>
                <w:u w:val="single"/>
                <w:lang w:eastAsia="it-IT"/>
              </w:rPr>
            </w:pPr>
            <w:r w:rsidRPr="00A4252C">
              <w:rPr>
                <w:rFonts w:ascii="Arial Narrow" w:hAnsi="Arial Narrow"/>
                <w:bCs/>
                <w:color w:val="000000"/>
                <w:sz w:val="16"/>
                <w:szCs w:val="16"/>
                <w:lang w:eastAsia="it-IT"/>
              </w:rPr>
              <w:t>I 201</w:t>
            </w:r>
            <w:r w:rsidR="00954F12">
              <w:rPr>
                <w:rFonts w:ascii="Arial Narrow" w:hAnsi="Arial Narrow"/>
                <w:bCs/>
                <w:color w:val="000000"/>
                <w:sz w:val="16"/>
                <w:szCs w:val="16"/>
                <w:lang w:eastAsia="it-IT"/>
              </w:rPr>
              <w:t>8</w:t>
            </w:r>
          </w:p>
        </w:tc>
      </w:tr>
      <w:tr w:rsidR="00553E53" w:rsidRPr="00A4252C" w14:paraId="3C52CCEC" w14:textId="77777777" w:rsidTr="00F4558E">
        <w:trPr>
          <w:trHeight w:val="255"/>
        </w:trPr>
        <w:tc>
          <w:tcPr>
            <w:tcW w:w="5732" w:type="dxa"/>
            <w:shd w:val="clear" w:color="auto" w:fill="17365D"/>
            <w:vAlign w:val="center"/>
          </w:tcPr>
          <w:p w14:paraId="07096952" w14:textId="77777777" w:rsidR="00553E53" w:rsidRPr="00A4252C" w:rsidRDefault="00553E53" w:rsidP="00CE3490">
            <w:pPr>
              <w:spacing w:before="40" w:after="20"/>
              <w:rPr>
                <w:rFonts w:ascii="Arial Narrow" w:hAnsi="Arial Narrow"/>
                <w:b/>
                <w:bCs/>
                <w:color w:val="FFFFFF"/>
                <w:sz w:val="18"/>
                <w:szCs w:val="18"/>
                <w:lang w:eastAsia="it-IT"/>
              </w:rPr>
            </w:pPr>
            <w:r w:rsidRPr="00A4252C">
              <w:rPr>
                <w:rFonts w:ascii="Arial Narrow" w:hAnsi="Arial Narrow"/>
                <w:b/>
                <w:bCs/>
                <w:color w:val="FFFFFF"/>
                <w:sz w:val="18"/>
                <w:szCs w:val="18"/>
                <w:lang w:eastAsia="it-IT"/>
              </w:rPr>
              <w:t>Industria (B-F)</w:t>
            </w:r>
          </w:p>
        </w:tc>
        <w:tc>
          <w:tcPr>
            <w:tcW w:w="981" w:type="dxa"/>
            <w:shd w:val="clear" w:color="auto" w:fill="17365D"/>
            <w:tcMar>
              <w:right w:w="284" w:type="dxa"/>
            </w:tcMar>
          </w:tcPr>
          <w:p w14:paraId="0F1A2231" w14:textId="12EAE653" w:rsidR="00553E53" w:rsidRPr="00A4252C"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4</w:t>
            </w:r>
            <w:r>
              <w:rPr>
                <w:rFonts w:ascii="Arial Narrow" w:hAnsi="Arial Narrow"/>
                <w:b/>
                <w:sz w:val="16"/>
                <w:szCs w:val="16"/>
              </w:rPr>
              <w:t>.</w:t>
            </w:r>
            <w:r w:rsidRPr="00553E53">
              <w:rPr>
                <w:rFonts w:ascii="Arial Narrow" w:hAnsi="Arial Narrow"/>
                <w:b/>
                <w:sz w:val="16"/>
                <w:szCs w:val="16"/>
              </w:rPr>
              <w:t>486</w:t>
            </w:r>
          </w:p>
        </w:tc>
        <w:tc>
          <w:tcPr>
            <w:tcW w:w="1640" w:type="dxa"/>
            <w:shd w:val="clear" w:color="auto" w:fill="17365D"/>
            <w:tcMar>
              <w:right w:w="567" w:type="dxa"/>
            </w:tcMar>
          </w:tcPr>
          <w:p w14:paraId="731B3E5F" w14:textId="2B72690C" w:rsidR="00553E53" w:rsidRPr="00A4252C"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0,6</w:t>
            </w:r>
          </w:p>
        </w:tc>
        <w:tc>
          <w:tcPr>
            <w:tcW w:w="1292" w:type="dxa"/>
            <w:shd w:val="clear" w:color="auto" w:fill="17365D"/>
            <w:tcMar>
              <w:right w:w="567" w:type="dxa"/>
            </w:tcMar>
          </w:tcPr>
          <w:p w14:paraId="7734B6B9" w14:textId="6760D405" w:rsidR="00553E53" w:rsidRPr="00A4252C" w:rsidRDefault="00553E53" w:rsidP="00EC27FB">
            <w:pPr>
              <w:tabs>
                <w:tab w:val="left" w:pos="861"/>
              </w:tabs>
              <w:spacing w:before="40" w:after="20"/>
              <w:ind w:left="-47" w:right="50"/>
              <w:jc w:val="right"/>
              <w:rPr>
                <w:rFonts w:ascii="Arial Narrow" w:hAnsi="Arial Narrow"/>
                <w:b/>
                <w:sz w:val="16"/>
                <w:szCs w:val="16"/>
              </w:rPr>
            </w:pPr>
            <w:r w:rsidRPr="003E747C">
              <w:rPr>
                <w:rFonts w:ascii="Arial Narrow" w:hAnsi="Arial Narrow"/>
                <w:b/>
                <w:sz w:val="16"/>
                <w:szCs w:val="16"/>
              </w:rPr>
              <w:t>1,5</w:t>
            </w:r>
          </w:p>
        </w:tc>
      </w:tr>
      <w:tr w:rsidR="00553E53" w:rsidRPr="00A4252C" w14:paraId="6D898EC8" w14:textId="77777777" w:rsidTr="00F4558E">
        <w:trPr>
          <w:trHeight w:val="255"/>
        </w:trPr>
        <w:tc>
          <w:tcPr>
            <w:tcW w:w="5732" w:type="dxa"/>
            <w:vAlign w:val="center"/>
          </w:tcPr>
          <w:p w14:paraId="4F8C3AFF" w14:textId="77777777" w:rsidR="00553E53" w:rsidRPr="00A4252C" w:rsidRDefault="00553E53" w:rsidP="00CE3490">
            <w:pPr>
              <w:spacing w:before="40" w:after="20"/>
              <w:rPr>
                <w:rFonts w:ascii="Arial Narrow" w:hAnsi="Arial Narrow"/>
                <w:b/>
                <w:bCs/>
                <w:color w:val="000000"/>
                <w:sz w:val="18"/>
                <w:szCs w:val="18"/>
                <w:lang w:eastAsia="it-IT"/>
              </w:rPr>
            </w:pPr>
            <w:r w:rsidRPr="00A4252C">
              <w:rPr>
                <w:rFonts w:ascii="Arial Narrow" w:hAnsi="Arial Narrow"/>
                <w:b/>
                <w:bCs/>
                <w:color w:val="000000"/>
                <w:sz w:val="18"/>
                <w:szCs w:val="18"/>
                <w:lang w:eastAsia="it-IT"/>
              </w:rPr>
              <w:t>B-E Industria in senso stretto</w:t>
            </w:r>
          </w:p>
        </w:tc>
        <w:tc>
          <w:tcPr>
            <w:tcW w:w="981" w:type="dxa"/>
            <w:shd w:val="clear" w:color="auto" w:fill="F2F2F2"/>
            <w:tcMar>
              <w:right w:w="284" w:type="dxa"/>
            </w:tcMar>
          </w:tcPr>
          <w:p w14:paraId="51C02A7E" w14:textId="5892B380" w:rsidR="00553E53" w:rsidRPr="000409F7"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3</w:t>
            </w:r>
            <w:r>
              <w:rPr>
                <w:rFonts w:ascii="Arial Narrow" w:hAnsi="Arial Narrow"/>
                <w:b/>
                <w:sz w:val="16"/>
                <w:szCs w:val="16"/>
              </w:rPr>
              <w:t>.</w:t>
            </w:r>
            <w:r w:rsidRPr="00553E53">
              <w:rPr>
                <w:rFonts w:ascii="Arial Narrow" w:hAnsi="Arial Narrow"/>
                <w:b/>
                <w:sz w:val="16"/>
                <w:szCs w:val="16"/>
              </w:rPr>
              <w:t>644</w:t>
            </w:r>
          </w:p>
        </w:tc>
        <w:tc>
          <w:tcPr>
            <w:tcW w:w="1640" w:type="dxa"/>
            <w:tcMar>
              <w:right w:w="567" w:type="dxa"/>
            </w:tcMar>
          </w:tcPr>
          <w:p w14:paraId="1197F2F8" w14:textId="031FE659" w:rsidR="00553E53" w:rsidRPr="000409F7"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0,5</w:t>
            </w:r>
          </w:p>
        </w:tc>
        <w:tc>
          <w:tcPr>
            <w:tcW w:w="1292" w:type="dxa"/>
            <w:shd w:val="clear" w:color="auto" w:fill="F2F2F2"/>
            <w:tcMar>
              <w:right w:w="567" w:type="dxa"/>
            </w:tcMar>
          </w:tcPr>
          <w:p w14:paraId="0D50BDAF" w14:textId="4903546F" w:rsidR="00553E53" w:rsidRPr="000409F7" w:rsidRDefault="00553E53" w:rsidP="00EC27FB">
            <w:pPr>
              <w:tabs>
                <w:tab w:val="left" w:pos="861"/>
              </w:tabs>
              <w:spacing w:before="40" w:after="20"/>
              <w:ind w:left="-47" w:right="50"/>
              <w:jc w:val="right"/>
              <w:rPr>
                <w:rFonts w:ascii="Arial Narrow" w:hAnsi="Arial Narrow"/>
                <w:b/>
                <w:sz w:val="16"/>
                <w:szCs w:val="16"/>
              </w:rPr>
            </w:pPr>
            <w:r w:rsidRPr="003E747C">
              <w:rPr>
                <w:rFonts w:ascii="Arial Narrow" w:hAnsi="Arial Narrow"/>
                <w:b/>
                <w:sz w:val="16"/>
                <w:szCs w:val="16"/>
              </w:rPr>
              <w:t>1,4</w:t>
            </w:r>
          </w:p>
        </w:tc>
      </w:tr>
      <w:tr w:rsidR="00553E53" w:rsidRPr="00A4252C" w14:paraId="5CB527C5" w14:textId="77777777" w:rsidTr="00F4558E">
        <w:trPr>
          <w:trHeight w:val="255"/>
        </w:trPr>
        <w:tc>
          <w:tcPr>
            <w:tcW w:w="5732" w:type="dxa"/>
            <w:vAlign w:val="center"/>
          </w:tcPr>
          <w:p w14:paraId="51376EF0"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C Attività manifatturiere</w:t>
            </w:r>
          </w:p>
        </w:tc>
        <w:tc>
          <w:tcPr>
            <w:tcW w:w="981" w:type="dxa"/>
            <w:shd w:val="clear" w:color="auto" w:fill="F2F2F2"/>
            <w:tcMar>
              <w:right w:w="284" w:type="dxa"/>
            </w:tcMar>
          </w:tcPr>
          <w:p w14:paraId="56A7D6C3" w14:textId="0EFD1BEE"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3</w:t>
            </w:r>
            <w:r>
              <w:rPr>
                <w:rFonts w:ascii="Arial Narrow" w:hAnsi="Arial Narrow"/>
                <w:sz w:val="16"/>
                <w:szCs w:val="16"/>
              </w:rPr>
              <w:t>.</w:t>
            </w:r>
            <w:r w:rsidRPr="00553E53">
              <w:rPr>
                <w:rFonts w:ascii="Arial Narrow" w:hAnsi="Arial Narrow"/>
                <w:sz w:val="16"/>
                <w:szCs w:val="16"/>
              </w:rPr>
              <w:t>350</w:t>
            </w:r>
          </w:p>
        </w:tc>
        <w:tc>
          <w:tcPr>
            <w:tcW w:w="1640" w:type="dxa"/>
            <w:tcMar>
              <w:right w:w="567" w:type="dxa"/>
            </w:tcMar>
          </w:tcPr>
          <w:p w14:paraId="547BD969" w14:textId="6AB6FE8C"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0,6</w:t>
            </w:r>
          </w:p>
        </w:tc>
        <w:tc>
          <w:tcPr>
            <w:tcW w:w="1292" w:type="dxa"/>
            <w:shd w:val="clear" w:color="auto" w:fill="F2F2F2"/>
            <w:tcMar>
              <w:right w:w="567" w:type="dxa"/>
            </w:tcMar>
          </w:tcPr>
          <w:p w14:paraId="2E506165" w14:textId="49B83E18" w:rsidR="00553E53" w:rsidRPr="00A4252C" w:rsidRDefault="00553E53" w:rsidP="00EC27FB">
            <w:pPr>
              <w:tabs>
                <w:tab w:val="left" w:pos="861"/>
              </w:tabs>
              <w:spacing w:before="40" w:after="20"/>
              <w:ind w:left="-47" w:right="50"/>
              <w:jc w:val="right"/>
              <w:rPr>
                <w:rFonts w:ascii="Arial Narrow" w:hAnsi="Arial Narrow"/>
                <w:sz w:val="16"/>
                <w:szCs w:val="16"/>
              </w:rPr>
            </w:pPr>
            <w:r w:rsidRPr="003E747C">
              <w:rPr>
                <w:rFonts w:ascii="Arial Narrow" w:hAnsi="Arial Narrow"/>
                <w:sz w:val="16"/>
                <w:szCs w:val="16"/>
              </w:rPr>
              <w:t>1,4</w:t>
            </w:r>
          </w:p>
        </w:tc>
      </w:tr>
      <w:tr w:rsidR="00553E53" w:rsidRPr="00A4252C" w14:paraId="49BC01A9" w14:textId="77777777" w:rsidTr="00F4558E">
        <w:trPr>
          <w:trHeight w:val="255"/>
        </w:trPr>
        <w:tc>
          <w:tcPr>
            <w:tcW w:w="5732" w:type="dxa"/>
            <w:vAlign w:val="center"/>
          </w:tcPr>
          <w:p w14:paraId="2CC3A6BB"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D Fornitura di energia elettrica, gas, vapore e aria condizionata</w:t>
            </w:r>
          </w:p>
        </w:tc>
        <w:tc>
          <w:tcPr>
            <w:tcW w:w="981" w:type="dxa"/>
            <w:shd w:val="clear" w:color="auto" w:fill="F2F2F2"/>
            <w:tcMar>
              <w:right w:w="284" w:type="dxa"/>
            </w:tcMar>
          </w:tcPr>
          <w:p w14:paraId="68E01891" w14:textId="4F2AA5BB"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84</w:t>
            </w:r>
          </w:p>
        </w:tc>
        <w:tc>
          <w:tcPr>
            <w:tcW w:w="1640" w:type="dxa"/>
            <w:tcMar>
              <w:right w:w="567" w:type="dxa"/>
            </w:tcMar>
          </w:tcPr>
          <w:p w14:paraId="4C869C47" w14:textId="61C3CF32"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-0,1</w:t>
            </w:r>
          </w:p>
        </w:tc>
        <w:tc>
          <w:tcPr>
            <w:tcW w:w="1292" w:type="dxa"/>
            <w:shd w:val="clear" w:color="auto" w:fill="F2F2F2"/>
            <w:tcMar>
              <w:right w:w="567" w:type="dxa"/>
            </w:tcMar>
          </w:tcPr>
          <w:p w14:paraId="6326273C" w14:textId="0A343A99" w:rsidR="00553E53" w:rsidRPr="00A4252C" w:rsidRDefault="00553E53" w:rsidP="00EC27FB">
            <w:pPr>
              <w:tabs>
                <w:tab w:val="left" w:pos="861"/>
              </w:tabs>
              <w:spacing w:before="40" w:after="20"/>
              <w:ind w:left="-47" w:right="50"/>
              <w:jc w:val="right"/>
              <w:rPr>
                <w:rFonts w:ascii="Arial Narrow" w:hAnsi="Arial Narrow"/>
                <w:sz w:val="16"/>
                <w:szCs w:val="16"/>
              </w:rPr>
            </w:pPr>
            <w:r w:rsidRPr="003E747C">
              <w:rPr>
                <w:rFonts w:ascii="Arial Narrow" w:hAnsi="Arial Narrow"/>
                <w:sz w:val="16"/>
                <w:szCs w:val="16"/>
              </w:rPr>
              <w:t>-0,4</w:t>
            </w:r>
          </w:p>
        </w:tc>
      </w:tr>
      <w:tr w:rsidR="00553E53" w:rsidRPr="00A4252C" w14:paraId="23F4F828" w14:textId="77777777" w:rsidTr="00F4558E">
        <w:trPr>
          <w:trHeight w:val="255"/>
        </w:trPr>
        <w:tc>
          <w:tcPr>
            <w:tcW w:w="5732" w:type="dxa"/>
            <w:vAlign w:val="center"/>
          </w:tcPr>
          <w:p w14:paraId="4C989A91"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E Fornitura di acqua; reti fognarie, i gestione dei rifiuti e risanamento</w:t>
            </w:r>
          </w:p>
        </w:tc>
        <w:tc>
          <w:tcPr>
            <w:tcW w:w="981" w:type="dxa"/>
            <w:shd w:val="clear" w:color="auto" w:fill="F2F2F2"/>
            <w:tcMar>
              <w:right w:w="284" w:type="dxa"/>
            </w:tcMar>
          </w:tcPr>
          <w:p w14:paraId="156E9547" w14:textId="4B69B695"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192</w:t>
            </w:r>
          </w:p>
        </w:tc>
        <w:tc>
          <w:tcPr>
            <w:tcW w:w="1640" w:type="dxa"/>
            <w:tcMar>
              <w:right w:w="567" w:type="dxa"/>
            </w:tcMar>
          </w:tcPr>
          <w:p w14:paraId="0F971AFA" w14:textId="3E6CC4DB"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0,6</w:t>
            </w:r>
          </w:p>
        </w:tc>
        <w:tc>
          <w:tcPr>
            <w:tcW w:w="1292" w:type="dxa"/>
            <w:shd w:val="clear" w:color="auto" w:fill="F2F2F2"/>
            <w:tcMar>
              <w:right w:w="567" w:type="dxa"/>
            </w:tcMar>
          </w:tcPr>
          <w:p w14:paraId="32F2B420" w14:textId="1B5D99BB" w:rsidR="00553E53" w:rsidRPr="00A4252C" w:rsidRDefault="00553E53" w:rsidP="00EC27FB">
            <w:pPr>
              <w:tabs>
                <w:tab w:val="left" w:pos="861"/>
              </w:tabs>
              <w:spacing w:before="40" w:after="20"/>
              <w:ind w:left="-47" w:right="50"/>
              <w:jc w:val="right"/>
              <w:rPr>
                <w:rFonts w:ascii="Arial Narrow" w:hAnsi="Arial Narrow"/>
                <w:sz w:val="16"/>
                <w:szCs w:val="16"/>
              </w:rPr>
            </w:pPr>
            <w:r w:rsidRPr="003E747C">
              <w:rPr>
                <w:rFonts w:ascii="Arial Narrow" w:hAnsi="Arial Narrow"/>
                <w:sz w:val="16"/>
                <w:szCs w:val="16"/>
              </w:rPr>
              <w:t>2,2</w:t>
            </w:r>
          </w:p>
        </w:tc>
      </w:tr>
      <w:tr w:rsidR="00553E53" w:rsidRPr="00A4252C" w14:paraId="758B412F" w14:textId="77777777" w:rsidTr="00F4558E">
        <w:trPr>
          <w:trHeight w:val="255"/>
        </w:trPr>
        <w:tc>
          <w:tcPr>
            <w:tcW w:w="5732" w:type="dxa"/>
            <w:vAlign w:val="center"/>
          </w:tcPr>
          <w:p w14:paraId="07E0E9C8" w14:textId="77777777" w:rsidR="00553E53" w:rsidRPr="00A4252C" w:rsidRDefault="00553E53" w:rsidP="00CE3490">
            <w:pPr>
              <w:spacing w:before="40" w:after="20"/>
              <w:rPr>
                <w:rFonts w:ascii="Arial Narrow" w:hAnsi="Arial Narrow"/>
                <w:b/>
                <w:color w:val="000000"/>
                <w:sz w:val="18"/>
                <w:szCs w:val="18"/>
                <w:lang w:eastAsia="it-IT"/>
              </w:rPr>
            </w:pPr>
            <w:r w:rsidRPr="00A4252C">
              <w:rPr>
                <w:rFonts w:ascii="Arial Narrow" w:hAnsi="Arial Narrow"/>
                <w:b/>
                <w:color w:val="000000"/>
                <w:sz w:val="18"/>
                <w:szCs w:val="18"/>
                <w:lang w:eastAsia="it-IT"/>
              </w:rPr>
              <w:t xml:space="preserve"> F Costruzioni</w:t>
            </w:r>
          </w:p>
        </w:tc>
        <w:tc>
          <w:tcPr>
            <w:tcW w:w="981" w:type="dxa"/>
            <w:shd w:val="clear" w:color="auto" w:fill="F2F2F2"/>
            <w:tcMar>
              <w:right w:w="284" w:type="dxa"/>
            </w:tcMar>
          </w:tcPr>
          <w:p w14:paraId="5A754990" w14:textId="3A41C38F" w:rsidR="00553E53" w:rsidRPr="000409F7"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842</w:t>
            </w:r>
          </w:p>
        </w:tc>
        <w:tc>
          <w:tcPr>
            <w:tcW w:w="1640" w:type="dxa"/>
            <w:tcMar>
              <w:right w:w="567" w:type="dxa"/>
            </w:tcMar>
          </w:tcPr>
          <w:p w14:paraId="296D939D" w14:textId="4FF5494B" w:rsidR="00553E53" w:rsidRPr="000409F7"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0,9</w:t>
            </w:r>
          </w:p>
        </w:tc>
        <w:tc>
          <w:tcPr>
            <w:tcW w:w="1292" w:type="dxa"/>
            <w:shd w:val="clear" w:color="auto" w:fill="F2F2F2"/>
            <w:tcMar>
              <w:right w:w="567" w:type="dxa"/>
            </w:tcMar>
          </w:tcPr>
          <w:p w14:paraId="6BC4BCC8" w14:textId="4617128B" w:rsidR="00553E53" w:rsidRPr="000409F7" w:rsidRDefault="00553E53" w:rsidP="00EC27FB">
            <w:pPr>
              <w:tabs>
                <w:tab w:val="left" w:pos="861"/>
              </w:tabs>
              <w:spacing w:before="40" w:after="20"/>
              <w:ind w:left="-47" w:right="50"/>
              <w:jc w:val="right"/>
              <w:rPr>
                <w:rFonts w:ascii="Arial Narrow" w:hAnsi="Arial Narrow"/>
                <w:b/>
                <w:sz w:val="16"/>
                <w:szCs w:val="16"/>
              </w:rPr>
            </w:pPr>
            <w:r w:rsidRPr="003E747C">
              <w:rPr>
                <w:rFonts w:ascii="Arial Narrow" w:hAnsi="Arial Narrow"/>
                <w:b/>
                <w:sz w:val="16"/>
                <w:szCs w:val="16"/>
              </w:rPr>
              <w:t>2,2</w:t>
            </w:r>
          </w:p>
        </w:tc>
      </w:tr>
      <w:tr w:rsidR="00553E53" w:rsidRPr="00A4252C" w14:paraId="73DEDFD7" w14:textId="77777777" w:rsidTr="00F4558E">
        <w:trPr>
          <w:trHeight w:val="255"/>
        </w:trPr>
        <w:tc>
          <w:tcPr>
            <w:tcW w:w="5732" w:type="dxa"/>
            <w:shd w:val="clear" w:color="auto" w:fill="17365D"/>
            <w:vAlign w:val="center"/>
          </w:tcPr>
          <w:p w14:paraId="7A50A414" w14:textId="77777777" w:rsidR="00553E53" w:rsidRPr="00A4252C" w:rsidRDefault="00553E53" w:rsidP="00CE3490">
            <w:pPr>
              <w:spacing w:before="40" w:after="20"/>
              <w:rPr>
                <w:rFonts w:ascii="Arial Narrow" w:hAnsi="Arial Narrow"/>
                <w:b/>
                <w:bCs/>
                <w:color w:val="FFFFFF"/>
                <w:sz w:val="18"/>
                <w:szCs w:val="18"/>
                <w:lang w:eastAsia="it-IT"/>
              </w:rPr>
            </w:pPr>
            <w:r w:rsidRPr="00A4252C">
              <w:rPr>
                <w:rFonts w:ascii="Arial Narrow" w:hAnsi="Arial Narrow"/>
                <w:b/>
                <w:bCs/>
                <w:color w:val="FFFFFF"/>
                <w:sz w:val="18"/>
                <w:szCs w:val="18"/>
                <w:lang w:eastAsia="it-IT"/>
              </w:rPr>
              <w:t xml:space="preserve"> Servizi (G-S escluso O) </w:t>
            </w:r>
          </w:p>
        </w:tc>
        <w:tc>
          <w:tcPr>
            <w:tcW w:w="981" w:type="dxa"/>
            <w:shd w:val="clear" w:color="auto" w:fill="17365D"/>
            <w:tcMar>
              <w:right w:w="284" w:type="dxa"/>
            </w:tcMar>
          </w:tcPr>
          <w:p w14:paraId="02B384C9" w14:textId="1F25388E" w:rsidR="00553E53" w:rsidRPr="00A4252C"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8</w:t>
            </w:r>
            <w:r>
              <w:rPr>
                <w:rFonts w:ascii="Arial Narrow" w:hAnsi="Arial Narrow"/>
                <w:b/>
                <w:sz w:val="16"/>
                <w:szCs w:val="16"/>
              </w:rPr>
              <w:t>.</w:t>
            </w:r>
            <w:r w:rsidRPr="00553E53">
              <w:rPr>
                <w:rFonts w:ascii="Arial Narrow" w:hAnsi="Arial Narrow"/>
                <w:b/>
                <w:sz w:val="16"/>
                <w:szCs w:val="16"/>
              </w:rPr>
              <w:t>336</w:t>
            </w:r>
          </w:p>
        </w:tc>
        <w:tc>
          <w:tcPr>
            <w:tcW w:w="1640" w:type="dxa"/>
            <w:shd w:val="clear" w:color="auto" w:fill="17365D"/>
            <w:tcMar>
              <w:right w:w="567" w:type="dxa"/>
            </w:tcMar>
          </w:tcPr>
          <w:p w14:paraId="7954BB64" w14:textId="5BCCC8A1" w:rsidR="00553E53" w:rsidRPr="00A4252C"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0,6</w:t>
            </w:r>
          </w:p>
        </w:tc>
        <w:tc>
          <w:tcPr>
            <w:tcW w:w="1292" w:type="dxa"/>
            <w:shd w:val="clear" w:color="auto" w:fill="17365D"/>
            <w:tcMar>
              <w:right w:w="567" w:type="dxa"/>
            </w:tcMar>
          </w:tcPr>
          <w:p w14:paraId="42A5F618" w14:textId="74ED08C6" w:rsidR="00553E53" w:rsidRPr="007E6C9F" w:rsidRDefault="00553E53" w:rsidP="00EC27FB">
            <w:pPr>
              <w:tabs>
                <w:tab w:val="left" w:pos="861"/>
              </w:tabs>
              <w:spacing w:before="40" w:after="20"/>
              <w:ind w:left="-47" w:right="50"/>
              <w:jc w:val="right"/>
              <w:rPr>
                <w:rFonts w:ascii="Arial Narrow" w:hAnsi="Arial Narrow"/>
                <w:b/>
                <w:sz w:val="16"/>
                <w:szCs w:val="16"/>
              </w:rPr>
            </w:pPr>
            <w:r w:rsidRPr="003E747C">
              <w:rPr>
                <w:rFonts w:ascii="Arial Narrow" w:hAnsi="Arial Narrow"/>
                <w:b/>
                <w:sz w:val="16"/>
                <w:szCs w:val="16"/>
              </w:rPr>
              <w:t>1,8</w:t>
            </w:r>
          </w:p>
        </w:tc>
      </w:tr>
      <w:tr w:rsidR="00553E53" w:rsidRPr="00A4252C" w14:paraId="761F6474" w14:textId="77777777" w:rsidTr="00F4558E">
        <w:trPr>
          <w:trHeight w:val="255"/>
        </w:trPr>
        <w:tc>
          <w:tcPr>
            <w:tcW w:w="5732" w:type="dxa"/>
            <w:vAlign w:val="center"/>
          </w:tcPr>
          <w:p w14:paraId="483E353D" w14:textId="77777777" w:rsidR="00553E53" w:rsidRPr="00A4252C" w:rsidRDefault="00553E53" w:rsidP="00CE3490">
            <w:pPr>
              <w:spacing w:before="40" w:after="20"/>
              <w:rPr>
                <w:rFonts w:ascii="Arial Narrow" w:hAnsi="Arial Narrow"/>
                <w:b/>
                <w:bCs/>
                <w:color w:val="000000"/>
                <w:sz w:val="18"/>
                <w:szCs w:val="18"/>
                <w:lang w:eastAsia="it-IT"/>
              </w:rPr>
            </w:pPr>
            <w:r w:rsidRPr="00A4252C">
              <w:rPr>
                <w:rFonts w:ascii="Arial Narrow" w:hAnsi="Arial Narrow"/>
                <w:b/>
                <w:bCs/>
                <w:color w:val="000000"/>
                <w:sz w:val="18"/>
                <w:szCs w:val="18"/>
                <w:lang w:eastAsia="it-IT"/>
              </w:rPr>
              <w:t xml:space="preserve">G-N Servizi di mercato </w:t>
            </w:r>
          </w:p>
        </w:tc>
        <w:tc>
          <w:tcPr>
            <w:tcW w:w="981" w:type="dxa"/>
            <w:shd w:val="clear" w:color="auto" w:fill="F2F2F2"/>
            <w:tcMar>
              <w:right w:w="284" w:type="dxa"/>
            </w:tcMar>
          </w:tcPr>
          <w:p w14:paraId="158D4200" w14:textId="71F750D0" w:rsidR="00553E53" w:rsidRPr="000409F7"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7</w:t>
            </w:r>
            <w:r>
              <w:rPr>
                <w:rFonts w:ascii="Arial Narrow" w:hAnsi="Arial Narrow"/>
                <w:b/>
                <w:sz w:val="16"/>
                <w:szCs w:val="16"/>
              </w:rPr>
              <w:t>.</w:t>
            </w:r>
            <w:r w:rsidRPr="00553E53">
              <w:rPr>
                <w:rFonts w:ascii="Arial Narrow" w:hAnsi="Arial Narrow"/>
                <w:b/>
                <w:sz w:val="16"/>
                <w:szCs w:val="16"/>
              </w:rPr>
              <w:t>217</w:t>
            </w:r>
          </w:p>
        </w:tc>
        <w:tc>
          <w:tcPr>
            <w:tcW w:w="1640" w:type="dxa"/>
            <w:tcMar>
              <w:right w:w="567" w:type="dxa"/>
            </w:tcMar>
          </w:tcPr>
          <w:p w14:paraId="453E8F80" w14:textId="70D2F9A6" w:rsidR="00553E53" w:rsidRPr="000409F7"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0,6</w:t>
            </w:r>
          </w:p>
        </w:tc>
        <w:tc>
          <w:tcPr>
            <w:tcW w:w="1292" w:type="dxa"/>
            <w:shd w:val="clear" w:color="auto" w:fill="F2F2F2"/>
            <w:tcMar>
              <w:right w:w="567" w:type="dxa"/>
            </w:tcMar>
          </w:tcPr>
          <w:p w14:paraId="0C13FEB7" w14:textId="11888BD9" w:rsidR="00553E53" w:rsidRPr="000409F7" w:rsidRDefault="00553E53" w:rsidP="00EC27FB">
            <w:pPr>
              <w:tabs>
                <w:tab w:val="left" w:pos="861"/>
              </w:tabs>
              <w:spacing w:before="40" w:after="20"/>
              <w:ind w:left="-47" w:right="50"/>
              <w:jc w:val="right"/>
              <w:rPr>
                <w:rFonts w:ascii="Arial Narrow" w:hAnsi="Arial Narrow"/>
                <w:b/>
                <w:sz w:val="16"/>
                <w:szCs w:val="16"/>
              </w:rPr>
            </w:pPr>
            <w:r w:rsidRPr="000F0D91">
              <w:rPr>
                <w:rFonts w:ascii="Arial Narrow" w:hAnsi="Arial Narrow"/>
                <w:b/>
                <w:sz w:val="16"/>
                <w:szCs w:val="16"/>
              </w:rPr>
              <w:t>1</w:t>
            </w:r>
            <w:r w:rsidRPr="003E747C">
              <w:rPr>
                <w:rFonts w:ascii="Arial Narrow" w:hAnsi="Arial Narrow"/>
                <w:b/>
                <w:sz w:val="16"/>
                <w:szCs w:val="16"/>
              </w:rPr>
              <w:t>,7</w:t>
            </w:r>
          </w:p>
        </w:tc>
      </w:tr>
      <w:tr w:rsidR="00553E53" w:rsidRPr="00A4252C" w14:paraId="5DB4C127" w14:textId="77777777" w:rsidTr="00F4558E">
        <w:trPr>
          <w:trHeight w:val="255"/>
        </w:trPr>
        <w:tc>
          <w:tcPr>
            <w:tcW w:w="5732" w:type="dxa"/>
            <w:vAlign w:val="center"/>
          </w:tcPr>
          <w:p w14:paraId="2D5DBC44" w14:textId="77777777" w:rsidR="00553E53" w:rsidRPr="00A4252C" w:rsidRDefault="00553E53" w:rsidP="00CE3490">
            <w:pPr>
              <w:spacing w:before="40" w:after="20"/>
              <w:rPr>
                <w:rFonts w:ascii="Arial Narrow" w:hAnsi="Arial Narrow"/>
                <w:bCs/>
                <w:color w:val="000000"/>
                <w:sz w:val="18"/>
                <w:szCs w:val="18"/>
                <w:lang w:eastAsia="it-IT"/>
              </w:rPr>
            </w:pPr>
            <w:r w:rsidRPr="00A4252C">
              <w:rPr>
                <w:rFonts w:ascii="Arial Narrow" w:hAnsi="Arial Narrow"/>
                <w:bCs/>
                <w:color w:val="000000"/>
                <w:sz w:val="18"/>
                <w:szCs w:val="18"/>
                <w:lang w:eastAsia="it-IT"/>
              </w:rPr>
              <w:t xml:space="preserve"> G Commercio all’ingrosso e al dettaglio, riparazione di autoveicoli e motocicli</w:t>
            </w:r>
          </w:p>
        </w:tc>
        <w:tc>
          <w:tcPr>
            <w:tcW w:w="981" w:type="dxa"/>
            <w:shd w:val="clear" w:color="auto" w:fill="F2F2F2"/>
            <w:tcMar>
              <w:right w:w="284" w:type="dxa"/>
            </w:tcMar>
          </w:tcPr>
          <w:p w14:paraId="000C3594" w14:textId="37E4225D"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2</w:t>
            </w:r>
            <w:r>
              <w:rPr>
                <w:rFonts w:ascii="Arial Narrow" w:hAnsi="Arial Narrow"/>
                <w:sz w:val="16"/>
                <w:szCs w:val="16"/>
              </w:rPr>
              <w:t>.</w:t>
            </w:r>
            <w:r w:rsidRPr="00553E53">
              <w:rPr>
                <w:rFonts w:ascii="Arial Narrow" w:hAnsi="Arial Narrow"/>
                <w:sz w:val="16"/>
                <w:szCs w:val="16"/>
              </w:rPr>
              <w:t>198</w:t>
            </w:r>
          </w:p>
        </w:tc>
        <w:tc>
          <w:tcPr>
            <w:tcW w:w="1640" w:type="dxa"/>
            <w:tcMar>
              <w:right w:w="567" w:type="dxa"/>
            </w:tcMar>
          </w:tcPr>
          <w:p w14:paraId="3B181F1F" w14:textId="3507B4B3"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0,7</w:t>
            </w:r>
          </w:p>
        </w:tc>
        <w:tc>
          <w:tcPr>
            <w:tcW w:w="1292" w:type="dxa"/>
            <w:shd w:val="clear" w:color="auto" w:fill="F2F2F2"/>
            <w:tcMar>
              <w:right w:w="567" w:type="dxa"/>
            </w:tcMar>
          </w:tcPr>
          <w:p w14:paraId="276EB8D0" w14:textId="77F50B84"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1,7</w:t>
            </w:r>
          </w:p>
        </w:tc>
      </w:tr>
      <w:tr w:rsidR="00553E53" w:rsidRPr="00A4252C" w14:paraId="1F5A1CD1" w14:textId="77777777" w:rsidTr="00F4558E">
        <w:trPr>
          <w:trHeight w:val="255"/>
        </w:trPr>
        <w:tc>
          <w:tcPr>
            <w:tcW w:w="5732" w:type="dxa"/>
            <w:vAlign w:val="center"/>
          </w:tcPr>
          <w:p w14:paraId="7A62DAD8"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H Trasporto e magazzinaggio </w:t>
            </w:r>
          </w:p>
        </w:tc>
        <w:tc>
          <w:tcPr>
            <w:tcW w:w="981" w:type="dxa"/>
            <w:shd w:val="clear" w:color="auto" w:fill="F2F2F2"/>
            <w:tcMar>
              <w:right w:w="284" w:type="dxa"/>
            </w:tcMar>
          </w:tcPr>
          <w:p w14:paraId="3D727CF7" w14:textId="46072BB7"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1</w:t>
            </w:r>
            <w:r>
              <w:rPr>
                <w:rFonts w:ascii="Arial Narrow" w:hAnsi="Arial Narrow"/>
                <w:sz w:val="16"/>
                <w:szCs w:val="16"/>
              </w:rPr>
              <w:t>.</w:t>
            </w:r>
            <w:r w:rsidRPr="00553E53">
              <w:rPr>
                <w:rFonts w:ascii="Arial Narrow" w:hAnsi="Arial Narrow"/>
                <w:sz w:val="16"/>
                <w:szCs w:val="16"/>
              </w:rPr>
              <w:t>049</w:t>
            </w:r>
          </w:p>
        </w:tc>
        <w:tc>
          <w:tcPr>
            <w:tcW w:w="1640" w:type="dxa"/>
            <w:tcMar>
              <w:right w:w="567" w:type="dxa"/>
            </w:tcMar>
          </w:tcPr>
          <w:p w14:paraId="2B9456AE" w14:textId="79A8967C"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0,7</w:t>
            </w:r>
          </w:p>
        </w:tc>
        <w:tc>
          <w:tcPr>
            <w:tcW w:w="1292" w:type="dxa"/>
            <w:shd w:val="clear" w:color="auto" w:fill="F2F2F2"/>
            <w:tcMar>
              <w:right w:w="567" w:type="dxa"/>
            </w:tcMar>
          </w:tcPr>
          <w:p w14:paraId="74CE09C7" w14:textId="1FC8CB5F"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0,8</w:t>
            </w:r>
          </w:p>
        </w:tc>
      </w:tr>
      <w:tr w:rsidR="00553E53" w:rsidRPr="00A4252C" w14:paraId="0B3F5481" w14:textId="77777777" w:rsidTr="00F4558E">
        <w:trPr>
          <w:trHeight w:val="255"/>
        </w:trPr>
        <w:tc>
          <w:tcPr>
            <w:tcW w:w="5732" w:type="dxa"/>
            <w:vAlign w:val="center"/>
          </w:tcPr>
          <w:p w14:paraId="5F104BC6"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I Attività dei servizi di alloggio e di ristorazione</w:t>
            </w:r>
          </w:p>
        </w:tc>
        <w:tc>
          <w:tcPr>
            <w:tcW w:w="981" w:type="dxa"/>
            <w:shd w:val="clear" w:color="auto" w:fill="F2F2F2"/>
            <w:tcMar>
              <w:right w:w="284" w:type="dxa"/>
            </w:tcMar>
          </w:tcPr>
          <w:p w14:paraId="0F37E092" w14:textId="1C24F4D5"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1</w:t>
            </w:r>
            <w:r>
              <w:rPr>
                <w:rFonts w:ascii="Arial Narrow" w:hAnsi="Arial Narrow"/>
                <w:sz w:val="16"/>
                <w:szCs w:val="16"/>
              </w:rPr>
              <w:t>.</w:t>
            </w:r>
            <w:r w:rsidRPr="00553E53">
              <w:rPr>
                <w:rFonts w:ascii="Arial Narrow" w:hAnsi="Arial Narrow"/>
                <w:sz w:val="16"/>
                <w:szCs w:val="16"/>
              </w:rPr>
              <w:t>129</w:t>
            </w:r>
          </w:p>
        </w:tc>
        <w:tc>
          <w:tcPr>
            <w:tcW w:w="1640" w:type="dxa"/>
            <w:tcMar>
              <w:right w:w="567" w:type="dxa"/>
            </w:tcMar>
          </w:tcPr>
          <w:p w14:paraId="6CE9F1FC" w14:textId="086DD698"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0,4</w:t>
            </w:r>
          </w:p>
        </w:tc>
        <w:tc>
          <w:tcPr>
            <w:tcW w:w="1292" w:type="dxa"/>
            <w:shd w:val="clear" w:color="auto" w:fill="F2F2F2"/>
            <w:tcMar>
              <w:right w:w="567" w:type="dxa"/>
            </w:tcMar>
          </w:tcPr>
          <w:p w14:paraId="65F536AC" w14:textId="756A1F4D"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2</w:t>
            </w:r>
            <w:r w:rsidR="00FE281C">
              <w:rPr>
                <w:rFonts w:ascii="Arial Narrow" w:hAnsi="Arial Narrow"/>
                <w:sz w:val="16"/>
                <w:szCs w:val="16"/>
              </w:rPr>
              <w:t>,0</w:t>
            </w:r>
          </w:p>
        </w:tc>
      </w:tr>
      <w:tr w:rsidR="00553E53" w:rsidRPr="00A4252C" w14:paraId="7CC0BC11" w14:textId="77777777" w:rsidTr="00F4558E">
        <w:trPr>
          <w:trHeight w:val="255"/>
        </w:trPr>
        <w:tc>
          <w:tcPr>
            <w:tcW w:w="5732" w:type="dxa"/>
            <w:vAlign w:val="center"/>
          </w:tcPr>
          <w:p w14:paraId="1799A18C"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J Servizi di informazione e comunicazione</w:t>
            </w:r>
          </w:p>
        </w:tc>
        <w:tc>
          <w:tcPr>
            <w:tcW w:w="981" w:type="dxa"/>
            <w:shd w:val="clear" w:color="auto" w:fill="F2F2F2"/>
            <w:tcMar>
              <w:right w:w="284" w:type="dxa"/>
            </w:tcMar>
          </w:tcPr>
          <w:p w14:paraId="7BD732AD" w14:textId="5CFACA23"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510</w:t>
            </w:r>
          </w:p>
        </w:tc>
        <w:tc>
          <w:tcPr>
            <w:tcW w:w="1640" w:type="dxa"/>
            <w:tcMar>
              <w:right w:w="567" w:type="dxa"/>
            </w:tcMar>
          </w:tcPr>
          <w:p w14:paraId="26E29AAF" w14:textId="1AFFEF3A"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0,6</w:t>
            </w:r>
          </w:p>
        </w:tc>
        <w:tc>
          <w:tcPr>
            <w:tcW w:w="1292" w:type="dxa"/>
            <w:shd w:val="clear" w:color="auto" w:fill="F2F2F2"/>
            <w:tcMar>
              <w:right w:w="567" w:type="dxa"/>
            </w:tcMar>
          </w:tcPr>
          <w:p w14:paraId="5E54F826" w14:textId="6DD4E999"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2,1</w:t>
            </w:r>
          </w:p>
        </w:tc>
      </w:tr>
      <w:tr w:rsidR="00553E53" w:rsidRPr="00A4252C" w14:paraId="1CBEC5B7" w14:textId="77777777" w:rsidTr="00F4558E">
        <w:trPr>
          <w:trHeight w:val="255"/>
        </w:trPr>
        <w:tc>
          <w:tcPr>
            <w:tcW w:w="5732" w:type="dxa"/>
            <w:vAlign w:val="center"/>
          </w:tcPr>
          <w:p w14:paraId="08FBD875"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K Attività finanziarie ed assicurative</w:t>
            </w:r>
          </w:p>
        </w:tc>
        <w:tc>
          <w:tcPr>
            <w:tcW w:w="981" w:type="dxa"/>
            <w:shd w:val="clear" w:color="auto" w:fill="F2F2F2"/>
            <w:tcMar>
              <w:right w:w="284" w:type="dxa"/>
            </w:tcMar>
          </w:tcPr>
          <w:p w14:paraId="40ABB2C8" w14:textId="7D9D3346"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448</w:t>
            </w:r>
          </w:p>
        </w:tc>
        <w:tc>
          <w:tcPr>
            <w:tcW w:w="1640" w:type="dxa"/>
            <w:tcMar>
              <w:right w:w="567" w:type="dxa"/>
            </w:tcMar>
          </w:tcPr>
          <w:p w14:paraId="2B638DB3" w14:textId="169D821A"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0,5</w:t>
            </w:r>
          </w:p>
        </w:tc>
        <w:tc>
          <w:tcPr>
            <w:tcW w:w="1292" w:type="dxa"/>
            <w:shd w:val="clear" w:color="auto" w:fill="F2F2F2"/>
            <w:tcMar>
              <w:right w:w="567" w:type="dxa"/>
            </w:tcMar>
          </w:tcPr>
          <w:p w14:paraId="253FD443" w14:textId="0F6DBC95"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-0,7</w:t>
            </w:r>
          </w:p>
        </w:tc>
      </w:tr>
      <w:tr w:rsidR="00553E53" w:rsidRPr="00A4252C" w14:paraId="35B9CDD7" w14:textId="77777777" w:rsidTr="00F4558E">
        <w:trPr>
          <w:trHeight w:val="255"/>
        </w:trPr>
        <w:tc>
          <w:tcPr>
            <w:tcW w:w="5732" w:type="dxa"/>
            <w:vAlign w:val="center"/>
          </w:tcPr>
          <w:p w14:paraId="5DB3B9DF" w14:textId="48E2588C"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 xml:space="preserve"> L, M, N Attività immobiliari, Attività professionali, scientifiche e tecniche, Noleggio, agenzie di viaggio, servizi di supporto alle imprese</w:t>
            </w:r>
          </w:p>
        </w:tc>
        <w:tc>
          <w:tcPr>
            <w:tcW w:w="981" w:type="dxa"/>
            <w:shd w:val="clear" w:color="auto" w:fill="F2F2F2"/>
            <w:tcMar>
              <w:right w:w="284" w:type="dxa"/>
            </w:tcMar>
          </w:tcPr>
          <w:p w14:paraId="52EE8949" w14:textId="50D151B1"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1</w:t>
            </w:r>
            <w:r>
              <w:rPr>
                <w:rFonts w:ascii="Arial Narrow" w:hAnsi="Arial Narrow"/>
                <w:sz w:val="16"/>
                <w:szCs w:val="16"/>
              </w:rPr>
              <w:t>.</w:t>
            </w:r>
            <w:r w:rsidRPr="00553E53">
              <w:rPr>
                <w:rFonts w:ascii="Arial Narrow" w:hAnsi="Arial Narrow"/>
                <w:sz w:val="16"/>
                <w:szCs w:val="16"/>
              </w:rPr>
              <w:t>884</w:t>
            </w:r>
          </w:p>
        </w:tc>
        <w:tc>
          <w:tcPr>
            <w:tcW w:w="1640" w:type="dxa"/>
            <w:tcMar>
              <w:right w:w="567" w:type="dxa"/>
            </w:tcMar>
          </w:tcPr>
          <w:p w14:paraId="6B576083" w14:textId="7229D9D9"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0,5</w:t>
            </w:r>
          </w:p>
        </w:tc>
        <w:tc>
          <w:tcPr>
            <w:tcW w:w="1292" w:type="dxa"/>
            <w:shd w:val="clear" w:color="auto" w:fill="F2F2F2"/>
            <w:tcMar>
              <w:right w:w="567" w:type="dxa"/>
            </w:tcMar>
          </w:tcPr>
          <w:p w14:paraId="121E76A2" w14:textId="0CFC2895"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2,6</w:t>
            </w:r>
          </w:p>
        </w:tc>
      </w:tr>
      <w:tr w:rsidR="00553E53" w:rsidRPr="00A4252C" w14:paraId="6F0869D3" w14:textId="77777777" w:rsidTr="00F4558E">
        <w:trPr>
          <w:trHeight w:val="255"/>
        </w:trPr>
        <w:tc>
          <w:tcPr>
            <w:tcW w:w="5732" w:type="dxa"/>
            <w:vAlign w:val="center"/>
          </w:tcPr>
          <w:p w14:paraId="341A724B" w14:textId="77777777" w:rsidR="00553E53" w:rsidRPr="00A4252C" w:rsidRDefault="00553E53" w:rsidP="00CE3490">
            <w:pPr>
              <w:spacing w:before="40" w:after="20"/>
              <w:rPr>
                <w:rFonts w:ascii="Arial Narrow" w:hAnsi="Arial Narrow"/>
                <w:color w:val="000000"/>
                <w:sz w:val="18"/>
                <w:szCs w:val="18"/>
                <w:lang w:eastAsia="it-IT"/>
              </w:rPr>
            </w:pPr>
            <w:r w:rsidRPr="00A4252C">
              <w:rPr>
                <w:rFonts w:ascii="Arial Narrow" w:hAnsi="Arial Narrow"/>
                <w:color w:val="000000"/>
                <w:sz w:val="18"/>
                <w:szCs w:val="18"/>
                <w:lang w:eastAsia="it-IT"/>
              </w:rPr>
              <w:t>di cui: Posizioni lavorative in somministrazione (ex interinali)</w:t>
            </w:r>
          </w:p>
        </w:tc>
        <w:tc>
          <w:tcPr>
            <w:tcW w:w="981" w:type="dxa"/>
            <w:shd w:val="clear" w:color="auto" w:fill="F2F2F2"/>
            <w:tcMar>
              <w:right w:w="284" w:type="dxa"/>
            </w:tcMar>
          </w:tcPr>
          <w:p w14:paraId="759F8222" w14:textId="25C8E829" w:rsidR="00553E53" w:rsidRPr="000409F7"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335</w:t>
            </w:r>
          </w:p>
        </w:tc>
        <w:tc>
          <w:tcPr>
            <w:tcW w:w="1640" w:type="dxa"/>
            <w:tcMar>
              <w:right w:w="567" w:type="dxa"/>
            </w:tcMar>
          </w:tcPr>
          <w:p w14:paraId="37A1EF9E" w14:textId="2A1E2BC3" w:rsidR="00553E53" w:rsidRPr="00A4252C"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-0,9</w:t>
            </w:r>
          </w:p>
        </w:tc>
        <w:tc>
          <w:tcPr>
            <w:tcW w:w="1292" w:type="dxa"/>
            <w:shd w:val="clear" w:color="auto" w:fill="F2F2F2"/>
            <w:tcMar>
              <w:right w:w="567" w:type="dxa"/>
            </w:tcMar>
          </w:tcPr>
          <w:p w14:paraId="5A7253DF" w14:textId="5D0383A2" w:rsidR="00553E53" w:rsidRPr="00A4252C"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-0,1</w:t>
            </w:r>
          </w:p>
        </w:tc>
      </w:tr>
      <w:tr w:rsidR="00553E53" w:rsidRPr="00A4252C" w14:paraId="26F943BC" w14:textId="77777777" w:rsidTr="00F4558E">
        <w:trPr>
          <w:trHeight w:val="255"/>
        </w:trPr>
        <w:tc>
          <w:tcPr>
            <w:tcW w:w="5732" w:type="dxa"/>
            <w:tcBorders>
              <w:bottom w:val="single" w:sz="4" w:space="0" w:color="333333"/>
            </w:tcBorders>
            <w:vAlign w:val="center"/>
          </w:tcPr>
          <w:p w14:paraId="30D0BF5C" w14:textId="307792DE" w:rsidR="00553E53" w:rsidRPr="00A4252C" w:rsidRDefault="00553E53" w:rsidP="00EB62E7">
            <w:pPr>
              <w:spacing w:before="40" w:after="20"/>
              <w:rPr>
                <w:rFonts w:ascii="Arial Narrow" w:hAnsi="Arial Narrow"/>
                <w:b/>
                <w:bCs/>
                <w:color w:val="000000"/>
                <w:sz w:val="18"/>
                <w:szCs w:val="18"/>
                <w:lang w:eastAsia="it-IT"/>
              </w:rPr>
            </w:pPr>
            <w:r w:rsidRPr="00A4252C">
              <w:rPr>
                <w:rFonts w:ascii="Arial Narrow" w:hAnsi="Arial Narrow"/>
                <w:b/>
                <w:bCs/>
                <w:color w:val="000000"/>
                <w:sz w:val="18"/>
                <w:szCs w:val="18"/>
                <w:lang w:eastAsia="it-IT"/>
              </w:rPr>
              <w:t>P-S Istruzione, sanità e assistenza sociale, attività artistiche e altre d</w:t>
            </w:r>
            <w:r w:rsidR="00EB62E7">
              <w:rPr>
                <w:rFonts w:ascii="Arial Narrow" w:hAnsi="Arial Narrow"/>
                <w:b/>
                <w:bCs/>
                <w:color w:val="000000"/>
                <w:sz w:val="18"/>
                <w:szCs w:val="18"/>
                <w:lang w:eastAsia="it-IT"/>
              </w:rPr>
              <w:t>e</w:t>
            </w:r>
            <w:r w:rsidRPr="00A4252C">
              <w:rPr>
                <w:rFonts w:ascii="Arial Narrow" w:hAnsi="Arial Narrow"/>
                <w:b/>
                <w:bCs/>
                <w:color w:val="000000"/>
                <w:sz w:val="18"/>
                <w:szCs w:val="18"/>
                <w:lang w:eastAsia="it-IT"/>
              </w:rPr>
              <w:t>i servizi</w:t>
            </w:r>
          </w:p>
        </w:tc>
        <w:tc>
          <w:tcPr>
            <w:tcW w:w="981" w:type="dxa"/>
            <w:tcBorders>
              <w:bottom w:val="single" w:sz="4" w:space="0" w:color="333333"/>
            </w:tcBorders>
            <w:shd w:val="clear" w:color="auto" w:fill="F2F2F2"/>
            <w:tcMar>
              <w:right w:w="284" w:type="dxa"/>
            </w:tcMar>
          </w:tcPr>
          <w:p w14:paraId="534A0210" w14:textId="0937C3A1" w:rsidR="00553E53" w:rsidRPr="00553E53" w:rsidRDefault="00553E53" w:rsidP="00EC27FB">
            <w:pPr>
              <w:tabs>
                <w:tab w:val="left" w:pos="627"/>
                <w:tab w:val="left" w:pos="861"/>
              </w:tabs>
              <w:spacing w:before="40" w:after="20"/>
              <w:ind w:left="-47" w:right="50"/>
              <w:jc w:val="right"/>
              <w:rPr>
                <w:rFonts w:ascii="Arial Narrow" w:hAnsi="Arial Narrow"/>
                <w:sz w:val="16"/>
                <w:szCs w:val="16"/>
              </w:rPr>
            </w:pPr>
            <w:r w:rsidRPr="00553E53">
              <w:rPr>
                <w:rFonts w:ascii="Arial Narrow" w:hAnsi="Arial Narrow"/>
                <w:b/>
                <w:sz w:val="16"/>
                <w:szCs w:val="16"/>
              </w:rPr>
              <w:t>1</w:t>
            </w:r>
            <w:r>
              <w:rPr>
                <w:rFonts w:ascii="Arial Narrow" w:hAnsi="Arial Narrow"/>
                <w:b/>
                <w:sz w:val="16"/>
                <w:szCs w:val="16"/>
              </w:rPr>
              <w:t>.</w:t>
            </w:r>
            <w:r w:rsidRPr="00553E53">
              <w:rPr>
                <w:rFonts w:ascii="Arial Narrow" w:hAnsi="Arial Narrow"/>
                <w:b/>
                <w:sz w:val="16"/>
                <w:szCs w:val="16"/>
              </w:rPr>
              <w:t>119</w:t>
            </w:r>
          </w:p>
        </w:tc>
        <w:tc>
          <w:tcPr>
            <w:tcW w:w="1640" w:type="dxa"/>
            <w:tcBorders>
              <w:bottom w:val="single" w:sz="4" w:space="0" w:color="333333"/>
            </w:tcBorders>
            <w:tcMar>
              <w:right w:w="567" w:type="dxa"/>
            </w:tcMar>
          </w:tcPr>
          <w:p w14:paraId="3D28C49A" w14:textId="212EB88E" w:rsidR="00553E53" w:rsidRPr="00553E53" w:rsidRDefault="00553E53" w:rsidP="00EC27FB">
            <w:pPr>
              <w:tabs>
                <w:tab w:val="left" w:pos="861"/>
              </w:tabs>
              <w:spacing w:before="40" w:after="20"/>
              <w:ind w:left="-47" w:right="50"/>
              <w:jc w:val="right"/>
              <w:rPr>
                <w:rFonts w:ascii="Arial Narrow" w:hAnsi="Arial Narrow"/>
                <w:sz w:val="16"/>
                <w:szCs w:val="16"/>
              </w:rPr>
            </w:pPr>
            <w:r w:rsidRPr="00553E53">
              <w:rPr>
                <w:rFonts w:ascii="Arial Narrow" w:hAnsi="Arial Narrow"/>
                <w:sz w:val="16"/>
                <w:szCs w:val="16"/>
              </w:rPr>
              <w:t>0,6</w:t>
            </w:r>
          </w:p>
        </w:tc>
        <w:tc>
          <w:tcPr>
            <w:tcW w:w="1292" w:type="dxa"/>
            <w:tcBorders>
              <w:bottom w:val="single" w:sz="4" w:space="0" w:color="333333"/>
            </w:tcBorders>
            <w:shd w:val="clear" w:color="auto" w:fill="F2F2F2"/>
            <w:tcMar>
              <w:right w:w="567" w:type="dxa"/>
            </w:tcMar>
          </w:tcPr>
          <w:p w14:paraId="600B278D" w14:textId="5BC7DA54" w:rsidR="00553E53" w:rsidRPr="000F0D91" w:rsidRDefault="00553E53" w:rsidP="00EC27FB">
            <w:pPr>
              <w:tabs>
                <w:tab w:val="left" w:pos="861"/>
              </w:tabs>
              <w:spacing w:before="40" w:after="20"/>
              <w:ind w:left="-47" w:right="50"/>
              <w:jc w:val="right"/>
              <w:rPr>
                <w:rFonts w:ascii="Arial Narrow" w:hAnsi="Arial Narrow"/>
                <w:sz w:val="16"/>
                <w:szCs w:val="16"/>
              </w:rPr>
            </w:pPr>
            <w:r w:rsidRPr="000F0D91">
              <w:rPr>
                <w:rFonts w:ascii="Arial Narrow" w:hAnsi="Arial Narrow"/>
                <w:sz w:val="16"/>
                <w:szCs w:val="16"/>
              </w:rPr>
              <w:t>2,1</w:t>
            </w:r>
          </w:p>
        </w:tc>
      </w:tr>
      <w:tr w:rsidR="00553E53" w:rsidRPr="00A4252C" w14:paraId="5380DCD8" w14:textId="77777777" w:rsidTr="00F4558E">
        <w:trPr>
          <w:trHeight w:val="255"/>
        </w:trPr>
        <w:tc>
          <w:tcPr>
            <w:tcW w:w="5732" w:type="dxa"/>
            <w:tcBorders>
              <w:bottom w:val="single" w:sz="4" w:space="0" w:color="FFFFFF" w:themeColor="background1"/>
            </w:tcBorders>
            <w:shd w:val="clear" w:color="auto" w:fill="17365D"/>
            <w:vAlign w:val="center"/>
          </w:tcPr>
          <w:p w14:paraId="43A85245" w14:textId="77777777" w:rsidR="00553E53" w:rsidRPr="00A4252C" w:rsidRDefault="00553E53" w:rsidP="00CE3490">
            <w:pPr>
              <w:spacing w:before="40" w:after="20"/>
              <w:rPr>
                <w:rFonts w:ascii="Arial Narrow" w:hAnsi="Arial Narrow"/>
                <w:b/>
                <w:bCs/>
                <w:color w:val="FFFFFF"/>
                <w:sz w:val="18"/>
                <w:szCs w:val="18"/>
                <w:lang w:eastAsia="it-IT"/>
              </w:rPr>
            </w:pPr>
            <w:r w:rsidRPr="00A4252C">
              <w:rPr>
                <w:rFonts w:ascii="Arial Narrow" w:hAnsi="Arial Narrow"/>
                <w:b/>
                <w:bCs/>
                <w:color w:val="FFFFFF"/>
                <w:sz w:val="18"/>
                <w:szCs w:val="18"/>
                <w:lang w:eastAsia="it-IT"/>
              </w:rPr>
              <w:t xml:space="preserve">Industria e servizi di mercato (B-N) </w:t>
            </w:r>
          </w:p>
        </w:tc>
        <w:tc>
          <w:tcPr>
            <w:tcW w:w="981" w:type="dxa"/>
            <w:tcBorders>
              <w:bottom w:val="single" w:sz="4" w:space="0" w:color="FFFFFF" w:themeColor="background1"/>
            </w:tcBorders>
            <w:shd w:val="clear" w:color="auto" w:fill="17365D"/>
            <w:tcMar>
              <w:right w:w="284" w:type="dxa"/>
            </w:tcMar>
          </w:tcPr>
          <w:p w14:paraId="2B690C24" w14:textId="3B58A02D" w:rsidR="00553E53" w:rsidRPr="00A4252C"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11</w:t>
            </w:r>
            <w:r>
              <w:rPr>
                <w:rFonts w:ascii="Arial Narrow" w:hAnsi="Arial Narrow"/>
                <w:b/>
                <w:sz w:val="16"/>
                <w:szCs w:val="16"/>
              </w:rPr>
              <w:t>.</w:t>
            </w:r>
            <w:r w:rsidRPr="00553E53">
              <w:rPr>
                <w:rFonts w:ascii="Arial Narrow" w:hAnsi="Arial Narrow"/>
                <w:b/>
                <w:sz w:val="16"/>
                <w:szCs w:val="16"/>
              </w:rPr>
              <w:t>703</w:t>
            </w:r>
          </w:p>
        </w:tc>
        <w:tc>
          <w:tcPr>
            <w:tcW w:w="1640" w:type="dxa"/>
            <w:tcBorders>
              <w:bottom w:val="single" w:sz="4" w:space="0" w:color="FFFFFF" w:themeColor="background1"/>
            </w:tcBorders>
            <w:shd w:val="clear" w:color="auto" w:fill="17365D"/>
            <w:tcMar>
              <w:right w:w="567" w:type="dxa"/>
            </w:tcMar>
          </w:tcPr>
          <w:p w14:paraId="3AD9F7E2" w14:textId="55CDF75F" w:rsidR="00553E53" w:rsidRPr="00A4252C"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0,6</w:t>
            </w:r>
          </w:p>
        </w:tc>
        <w:tc>
          <w:tcPr>
            <w:tcW w:w="1292" w:type="dxa"/>
            <w:tcBorders>
              <w:bottom w:val="single" w:sz="4" w:space="0" w:color="FFFFFF" w:themeColor="background1"/>
            </w:tcBorders>
            <w:shd w:val="clear" w:color="auto" w:fill="17365D"/>
            <w:tcMar>
              <w:right w:w="567" w:type="dxa"/>
            </w:tcMar>
          </w:tcPr>
          <w:p w14:paraId="570770D7" w14:textId="7B7852DE" w:rsidR="00553E53" w:rsidRPr="00A4252C" w:rsidRDefault="00553E53" w:rsidP="00EC27FB">
            <w:pPr>
              <w:tabs>
                <w:tab w:val="left" w:pos="861"/>
              </w:tabs>
              <w:spacing w:before="40" w:after="20"/>
              <w:ind w:left="-47" w:right="50"/>
              <w:jc w:val="right"/>
              <w:rPr>
                <w:rFonts w:ascii="Arial Narrow" w:hAnsi="Arial Narrow"/>
                <w:b/>
                <w:sz w:val="16"/>
                <w:szCs w:val="16"/>
              </w:rPr>
            </w:pPr>
            <w:r w:rsidRPr="000F0D91">
              <w:rPr>
                <w:rFonts w:ascii="Arial Narrow" w:hAnsi="Arial Narrow"/>
                <w:b/>
                <w:sz w:val="16"/>
                <w:szCs w:val="16"/>
              </w:rPr>
              <w:t>1,6</w:t>
            </w:r>
          </w:p>
        </w:tc>
      </w:tr>
      <w:tr w:rsidR="00553E53" w:rsidRPr="00A4252C" w14:paraId="25CE1055" w14:textId="77777777" w:rsidTr="00F4558E">
        <w:trPr>
          <w:trHeight w:val="255"/>
        </w:trPr>
        <w:tc>
          <w:tcPr>
            <w:tcW w:w="5732" w:type="dxa"/>
            <w:tcBorders>
              <w:top w:val="single" w:sz="4" w:space="0" w:color="FFFFFF" w:themeColor="background1"/>
            </w:tcBorders>
            <w:shd w:val="clear" w:color="auto" w:fill="17365D"/>
            <w:vAlign w:val="center"/>
          </w:tcPr>
          <w:p w14:paraId="11A52429" w14:textId="77777777" w:rsidR="00553E53" w:rsidRPr="00A4252C" w:rsidRDefault="00553E53" w:rsidP="00CE3490">
            <w:pPr>
              <w:spacing w:before="40" w:after="20"/>
              <w:rPr>
                <w:rFonts w:ascii="Arial Narrow" w:hAnsi="Arial Narrow"/>
                <w:b/>
                <w:bCs/>
                <w:color w:val="FFFFFF"/>
                <w:sz w:val="18"/>
                <w:szCs w:val="18"/>
                <w:lang w:eastAsia="it-IT"/>
              </w:rPr>
            </w:pPr>
            <w:r w:rsidRPr="00A4252C">
              <w:rPr>
                <w:rFonts w:ascii="Arial Narrow" w:hAnsi="Arial Narrow"/>
                <w:b/>
                <w:bCs/>
                <w:color w:val="FFFFFF"/>
                <w:sz w:val="18"/>
                <w:szCs w:val="18"/>
                <w:lang w:eastAsia="it-IT"/>
              </w:rPr>
              <w:t xml:space="preserve">Industria e servizi (B-S, escluso O) </w:t>
            </w:r>
          </w:p>
        </w:tc>
        <w:tc>
          <w:tcPr>
            <w:tcW w:w="981" w:type="dxa"/>
            <w:tcBorders>
              <w:top w:val="single" w:sz="4" w:space="0" w:color="FFFFFF" w:themeColor="background1"/>
            </w:tcBorders>
            <w:shd w:val="clear" w:color="auto" w:fill="17365D"/>
            <w:tcMar>
              <w:right w:w="284" w:type="dxa"/>
            </w:tcMar>
          </w:tcPr>
          <w:p w14:paraId="0768FCA2" w14:textId="5205AA06" w:rsidR="00553E53" w:rsidRPr="00A4252C" w:rsidRDefault="00553E53" w:rsidP="00EC27FB">
            <w:pPr>
              <w:tabs>
                <w:tab w:val="left" w:pos="627"/>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12</w:t>
            </w:r>
            <w:r>
              <w:rPr>
                <w:rFonts w:ascii="Arial Narrow" w:hAnsi="Arial Narrow"/>
                <w:b/>
                <w:sz w:val="16"/>
                <w:szCs w:val="16"/>
              </w:rPr>
              <w:t>.</w:t>
            </w:r>
            <w:r w:rsidRPr="00553E53">
              <w:rPr>
                <w:rFonts w:ascii="Arial Narrow" w:hAnsi="Arial Narrow"/>
                <w:b/>
                <w:sz w:val="16"/>
                <w:szCs w:val="16"/>
              </w:rPr>
              <w:t>821</w:t>
            </w:r>
          </w:p>
        </w:tc>
        <w:tc>
          <w:tcPr>
            <w:tcW w:w="1640" w:type="dxa"/>
            <w:tcBorders>
              <w:top w:val="single" w:sz="4" w:space="0" w:color="FFFFFF" w:themeColor="background1"/>
            </w:tcBorders>
            <w:shd w:val="clear" w:color="auto" w:fill="17365D"/>
            <w:tcMar>
              <w:right w:w="567" w:type="dxa"/>
            </w:tcMar>
          </w:tcPr>
          <w:p w14:paraId="4D4908BD" w14:textId="30BD1611" w:rsidR="00553E53" w:rsidRPr="00A4252C" w:rsidRDefault="00553E53" w:rsidP="00EC27FB">
            <w:pPr>
              <w:tabs>
                <w:tab w:val="left" w:pos="861"/>
              </w:tabs>
              <w:spacing w:before="40" w:after="20"/>
              <w:ind w:left="-47" w:right="50"/>
              <w:jc w:val="right"/>
              <w:rPr>
                <w:rFonts w:ascii="Arial Narrow" w:hAnsi="Arial Narrow"/>
                <w:b/>
                <w:sz w:val="16"/>
                <w:szCs w:val="16"/>
              </w:rPr>
            </w:pPr>
            <w:r w:rsidRPr="00553E53">
              <w:rPr>
                <w:rFonts w:ascii="Arial Narrow" w:hAnsi="Arial Narrow"/>
                <w:b/>
                <w:sz w:val="16"/>
                <w:szCs w:val="16"/>
              </w:rPr>
              <w:t>0,6</w:t>
            </w:r>
          </w:p>
        </w:tc>
        <w:tc>
          <w:tcPr>
            <w:tcW w:w="1292" w:type="dxa"/>
            <w:tcBorders>
              <w:top w:val="single" w:sz="4" w:space="0" w:color="FFFFFF" w:themeColor="background1"/>
            </w:tcBorders>
            <w:shd w:val="clear" w:color="auto" w:fill="17365D"/>
            <w:tcMar>
              <w:right w:w="567" w:type="dxa"/>
            </w:tcMar>
          </w:tcPr>
          <w:p w14:paraId="05E10D76" w14:textId="49C978F7" w:rsidR="00553E53" w:rsidRPr="00A4252C" w:rsidRDefault="00553E53" w:rsidP="00EC27FB">
            <w:pPr>
              <w:tabs>
                <w:tab w:val="left" w:pos="861"/>
              </w:tabs>
              <w:spacing w:before="40" w:after="20"/>
              <w:ind w:left="-47" w:right="50"/>
              <w:jc w:val="right"/>
              <w:rPr>
                <w:rFonts w:ascii="Arial Narrow" w:hAnsi="Arial Narrow"/>
                <w:b/>
                <w:sz w:val="16"/>
                <w:szCs w:val="16"/>
              </w:rPr>
            </w:pPr>
            <w:r w:rsidRPr="000F0D91">
              <w:rPr>
                <w:rFonts w:ascii="Arial Narrow" w:hAnsi="Arial Narrow"/>
                <w:b/>
                <w:sz w:val="16"/>
                <w:szCs w:val="16"/>
              </w:rPr>
              <w:t>1,7</w:t>
            </w:r>
          </w:p>
        </w:tc>
      </w:tr>
    </w:tbl>
    <w:p w14:paraId="6D5543A6" w14:textId="77777777" w:rsidR="00915CDA" w:rsidRPr="00A4252C" w:rsidRDefault="00915CDA" w:rsidP="00915CDA">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lastRenderedPageBreak/>
        <w:t>(a) A seguito degli arrotondamenti alle migliaia, i totali potrebbero non coincidere con la somma dei singoli addendi</w:t>
      </w:r>
    </w:p>
    <w:p w14:paraId="7B112F09" w14:textId="77777777" w:rsidR="004176C3" w:rsidRPr="00A4252C" w:rsidRDefault="004176C3" w:rsidP="001618CC">
      <w:pPr>
        <w:spacing w:before="60" w:after="0"/>
        <w:rPr>
          <w:rFonts w:ascii="Arial Narrow" w:hAnsi="Arial Narrow" w:cs="Arial"/>
          <w:kern w:val="28"/>
          <w:sz w:val="15"/>
          <w:szCs w:val="15"/>
        </w:rPr>
      </w:pPr>
      <w:r w:rsidRPr="00A4252C">
        <w:rPr>
          <w:rFonts w:ascii="Arial Narrow" w:hAnsi="Arial Narrow" w:cs="Arial"/>
          <w:i/>
          <w:kern w:val="28"/>
          <w:sz w:val="15"/>
          <w:szCs w:val="15"/>
        </w:rPr>
        <w:t>Fonte: Istat, Indicatori del lavoro sulle imprese (Oros)</w:t>
      </w:r>
    </w:p>
    <w:p w14:paraId="0351FD40" w14:textId="77777777" w:rsidR="003F60AC" w:rsidRPr="00A4252C" w:rsidRDefault="003F60AC" w:rsidP="00707A13">
      <w:pPr>
        <w:rPr>
          <w:rFonts w:cs="Arial"/>
          <w:szCs w:val="20"/>
        </w:rPr>
      </w:pPr>
    </w:p>
    <w:p w14:paraId="73431E1D" w14:textId="4E27D5CB" w:rsidR="0022141B" w:rsidRPr="00ED1BF2" w:rsidRDefault="0022141B" w:rsidP="00707A13">
      <w:pPr>
        <w:rPr>
          <w:rFonts w:cs="Arial"/>
          <w:szCs w:val="20"/>
        </w:rPr>
      </w:pPr>
      <w:r w:rsidRPr="00ED1BF2">
        <w:rPr>
          <w:rFonts w:cs="Arial"/>
          <w:szCs w:val="20"/>
        </w:rPr>
        <w:t xml:space="preserve">La crescita delle posizioni lavorative </w:t>
      </w:r>
      <w:r w:rsidR="0065048B" w:rsidRPr="00ED1BF2">
        <w:rPr>
          <w:rFonts w:cs="Arial"/>
          <w:szCs w:val="20"/>
        </w:rPr>
        <w:t>riguarda</w:t>
      </w:r>
      <w:r w:rsidRPr="00ED1BF2">
        <w:rPr>
          <w:rFonts w:cs="Arial"/>
          <w:szCs w:val="20"/>
        </w:rPr>
        <w:t xml:space="preserve"> </w:t>
      </w:r>
      <w:r w:rsidR="00DF3973" w:rsidRPr="00ED1BF2">
        <w:rPr>
          <w:rFonts w:cs="Arial"/>
          <w:szCs w:val="20"/>
        </w:rPr>
        <w:t>tutti i settori</w:t>
      </w:r>
      <w:r w:rsidR="002C7129" w:rsidRPr="00ED1BF2">
        <w:rPr>
          <w:rFonts w:cs="Arial"/>
          <w:szCs w:val="20"/>
        </w:rPr>
        <w:t>,</w:t>
      </w:r>
      <w:r w:rsidR="00DF3973" w:rsidRPr="00ED1BF2">
        <w:rPr>
          <w:rFonts w:cs="Arial"/>
          <w:szCs w:val="20"/>
        </w:rPr>
        <w:t xml:space="preserve"> </w:t>
      </w:r>
      <w:r w:rsidR="002C7129" w:rsidRPr="00ED1BF2">
        <w:rPr>
          <w:rFonts w:cs="Arial"/>
          <w:szCs w:val="20"/>
        </w:rPr>
        <w:t xml:space="preserve">in termini sia congiunturali sia </w:t>
      </w:r>
      <w:r w:rsidR="0065048B" w:rsidRPr="00ED1BF2">
        <w:rPr>
          <w:rFonts w:cs="Arial"/>
          <w:szCs w:val="20"/>
        </w:rPr>
        <w:t xml:space="preserve">tendenziali </w:t>
      </w:r>
      <w:r w:rsidRPr="00ED1BF2">
        <w:rPr>
          <w:rFonts w:cs="Arial"/>
          <w:szCs w:val="20"/>
        </w:rPr>
        <w:t>(Tavola 2). Le diverse entità dei flussi di attivazioni, cessazioni e trasformazioni sottostanti alle variazioni nette delle posizioni lavorative consentono di apprezzare le specificità settoriali. Nell’agricoltura, ad esempio, i flussi sono molto intensi e concentrati nelle posizioni di lavoro a tempo determinato, per effetto del lavoro stagionale e discontinuo.</w:t>
      </w:r>
    </w:p>
    <w:p w14:paraId="70E72DE0" w14:textId="505AAC7D" w:rsidR="00C04C35" w:rsidRPr="00A51547" w:rsidRDefault="004176C3" w:rsidP="004E234D">
      <w:pPr>
        <w:rPr>
          <w:rFonts w:cs="Arial"/>
          <w:szCs w:val="20"/>
        </w:rPr>
      </w:pPr>
      <w:r w:rsidRPr="00A51547">
        <w:rPr>
          <w:rFonts w:cs="Arial"/>
          <w:szCs w:val="20"/>
        </w:rPr>
        <w:t xml:space="preserve">Sostanzialmente la stessa dinamica settoriale si riscontra per le posizioni lavorative dipendenti nelle imprese industriali e dei servizi (Istat, </w:t>
      </w:r>
      <w:r w:rsidR="00F06321" w:rsidRPr="00A51547">
        <w:rPr>
          <w:rFonts w:cs="Arial"/>
          <w:szCs w:val="20"/>
        </w:rPr>
        <w:t>R</w:t>
      </w:r>
      <w:r w:rsidRPr="00A51547">
        <w:rPr>
          <w:rFonts w:cs="Arial"/>
          <w:szCs w:val="20"/>
        </w:rPr>
        <w:t>ilevazione Oros)</w:t>
      </w:r>
      <w:r w:rsidR="00B0081D" w:rsidRPr="00A51547">
        <w:rPr>
          <w:rFonts w:cs="Arial"/>
          <w:szCs w:val="20"/>
        </w:rPr>
        <w:t xml:space="preserve">. </w:t>
      </w:r>
      <w:r w:rsidR="00C04C35" w:rsidRPr="00A51547">
        <w:rPr>
          <w:rFonts w:cs="Arial"/>
          <w:szCs w:val="20"/>
        </w:rPr>
        <w:t>Aumentate dello 0,</w:t>
      </w:r>
      <w:r w:rsidR="00FE281C" w:rsidRPr="00A51547">
        <w:rPr>
          <w:rFonts w:cs="Arial"/>
          <w:szCs w:val="20"/>
        </w:rPr>
        <w:t>6</w:t>
      </w:r>
      <w:r w:rsidR="00C04C35" w:rsidRPr="00A51547">
        <w:rPr>
          <w:rFonts w:cs="Arial"/>
          <w:szCs w:val="20"/>
        </w:rPr>
        <w:t>% su base congiunturale e del</w:t>
      </w:r>
      <w:r w:rsidR="007C078F" w:rsidRPr="00A51547">
        <w:rPr>
          <w:rFonts w:cs="Arial"/>
          <w:szCs w:val="20"/>
        </w:rPr>
        <w:t>l’1</w:t>
      </w:r>
      <w:r w:rsidR="00C04C35" w:rsidRPr="00A51547">
        <w:rPr>
          <w:rFonts w:cs="Arial"/>
          <w:szCs w:val="20"/>
        </w:rPr>
        <w:t>,</w:t>
      </w:r>
      <w:r w:rsidR="00FE281C" w:rsidRPr="00A51547">
        <w:rPr>
          <w:rFonts w:cs="Arial"/>
          <w:szCs w:val="20"/>
        </w:rPr>
        <w:t>7</w:t>
      </w:r>
      <w:r w:rsidR="00C04C35" w:rsidRPr="00A51547">
        <w:rPr>
          <w:rFonts w:cs="Arial"/>
          <w:szCs w:val="20"/>
        </w:rPr>
        <w:t xml:space="preserve">% su base annua, </w:t>
      </w:r>
      <w:r w:rsidR="0026242C" w:rsidRPr="00A51547">
        <w:rPr>
          <w:rFonts w:cs="Arial"/>
          <w:szCs w:val="20"/>
        </w:rPr>
        <w:t xml:space="preserve">al netto della stagionalità, </w:t>
      </w:r>
      <w:r w:rsidR="00C04C35" w:rsidRPr="00A51547">
        <w:rPr>
          <w:rFonts w:cs="Arial"/>
          <w:szCs w:val="20"/>
        </w:rPr>
        <w:t xml:space="preserve">nel </w:t>
      </w:r>
      <w:r w:rsidR="00FE281C" w:rsidRPr="00A51547">
        <w:rPr>
          <w:rFonts w:cs="Arial"/>
          <w:szCs w:val="20"/>
        </w:rPr>
        <w:t>primo</w:t>
      </w:r>
      <w:r w:rsidR="00C04C35" w:rsidRPr="00A51547">
        <w:rPr>
          <w:rFonts w:cs="Arial"/>
          <w:szCs w:val="20"/>
        </w:rPr>
        <w:t xml:space="preserve"> trimestre 201</w:t>
      </w:r>
      <w:r w:rsidR="00FE281C" w:rsidRPr="00A51547">
        <w:rPr>
          <w:rFonts w:cs="Arial"/>
          <w:szCs w:val="20"/>
        </w:rPr>
        <w:t>9</w:t>
      </w:r>
      <w:r w:rsidR="00C04C35" w:rsidRPr="00A51547">
        <w:rPr>
          <w:rFonts w:cs="Arial"/>
          <w:szCs w:val="20"/>
        </w:rPr>
        <w:t xml:space="preserve"> </w:t>
      </w:r>
      <w:r w:rsidR="00D568D5" w:rsidRPr="00A51547">
        <w:rPr>
          <w:rFonts w:cs="Arial"/>
          <w:szCs w:val="20"/>
        </w:rPr>
        <w:t xml:space="preserve">il numero di </w:t>
      </w:r>
      <w:r w:rsidR="00C04C35" w:rsidRPr="00A51547">
        <w:rPr>
          <w:rFonts w:cs="Arial"/>
          <w:szCs w:val="20"/>
        </w:rPr>
        <w:t xml:space="preserve">posizioni </w:t>
      </w:r>
      <w:r w:rsidR="005037CF" w:rsidRPr="00A51547">
        <w:rPr>
          <w:rFonts w:cs="Arial"/>
          <w:szCs w:val="20"/>
        </w:rPr>
        <w:t>si attesta</w:t>
      </w:r>
      <w:r w:rsidR="0026242C">
        <w:rPr>
          <w:rFonts w:cs="Arial"/>
          <w:szCs w:val="20"/>
        </w:rPr>
        <w:t xml:space="preserve"> </w:t>
      </w:r>
      <w:r w:rsidR="00D568D5" w:rsidRPr="00A51547">
        <w:rPr>
          <w:rFonts w:cs="Arial"/>
          <w:szCs w:val="20"/>
        </w:rPr>
        <w:t xml:space="preserve">a </w:t>
      </w:r>
      <w:r w:rsidR="00C04C35" w:rsidRPr="00A51547">
        <w:rPr>
          <w:rFonts w:cs="Arial"/>
          <w:szCs w:val="20"/>
        </w:rPr>
        <w:t xml:space="preserve">12 milioni </w:t>
      </w:r>
      <w:r w:rsidR="00FE281C" w:rsidRPr="00A51547">
        <w:rPr>
          <w:rFonts w:cs="Arial"/>
          <w:szCs w:val="20"/>
        </w:rPr>
        <w:t>82</w:t>
      </w:r>
      <w:r w:rsidR="007C078F" w:rsidRPr="00A51547">
        <w:rPr>
          <w:rFonts w:cs="Arial"/>
          <w:szCs w:val="20"/>
        </w:rPr>
        <w:t>1</w:t>
      </w:r>
      <w:r w:rsidR="00C04C35" w:rsidRPr="00A51547">
        <w:rPr>
          <w:rFonts w:cs="Arial"/>
          <w:szCs w:val="20"/>
        </w:rPr>
        <w:t xml:space="preserve"> mila</w:t>
      </w:r>
      <w:r w:rsidR="00E442F3" w:rsidRPr="00A51547">
        <w:rPr>
          <w:rFonts w:cs="Arial"/>
          <w:szCs w:val="20"/>
        </w:rPr>
        <w:t xml:space="preserve"> </w:t>
      </w:r>
      <w:r w:rsidR="00234F1F" w:rsidRPr="00A51547">
        <w:rPr>
          <w:rFonts w:cs="Arial"/>
          <w:szCs w:val="20"/>
        </w:rPr>
        <w:t>facendo registrare un nuovo</w:t>
      </w:r>
      <w:r w:rsidR="0028065C" w:rsidRPr="00A51547">
        <w:rPr>
          <w:rFonts w:cs="Arial"/>
          <w:szCs w:val="20"/>
        </w:rPr>
        <w:t xml:space="preserve"> </w:t>
      </w:r>
      <w:r w:rsidR="00D568D5" w:rsidRPr="00A51547">
        <w:rPr>
          <w:rFonts w:cs="Arial"/>
          <w:szCs w:val="20"/>
        </w:rPr>
        <w:t xml:space="preserve">valore massimo </w:t>
      </w:r>
      <w:r w:rsidR="00C04C35" w:rsidRPr="00A51547">
        <w:rPr>
          <w:rFonts w:cs="Arial"/>
          <w:szCs w:val="20"/>
        </w:rPr>
        <w:t>dal 2010</w:t>
      </w:r>
      <w:r w:rsidR="00642689" w:rsidRPr="00A51547">
        <w:rPr>
          <w:rFonts w:cs="Arial"/>
          <w:szCs w:val="20"/>
        </w:rPr>
        <w:t xml:space="preserve"> </w:t>
      </w:r>
      <w:r w:rsidR="006A72C6" w:rsidRPr="00A51547">
        <w:rPr>
          <w:rFonts w:cs="Arial"/>
          <w:szCs w:val="20"/>
        </w:rPr>
        <w:t xml:space="preserve">(inizio della serie storica; </w:t>
      </w:r>
      <w:r w:rsidR="00C04C35" w:rsidRPr="00A51547">
        <w:rPr>
          <w:rFonts w:cs="Arial"/>
          <w:szCs w:val="20"/>
        </w:rPr>
        <w:t xml:space="preserve">vedi le tavole allegate alla Nota); l’industria e i servizi di mercato toccano gli 11 milioni </w:t>
      </w:r>
      <w:r w:rsidR="00FE281C" w:rsidRPr="00A51547">
        <w:rPr>
          <w:rFonts w:cs="Arial"/>
          <w:szCs w:val="20"/>
        </w:rPr>
        <w:t>703</w:t>
      </w:r>
      <w:r w:rsidR="00C04C35" w:rsidRPr="00A51547">
        <w:rPr>
          <w:rFonts w:cs="Arial"/>
          <w:szCs w:val="20"/>
        </w:rPr>
        <w:t xml:space="preserve"> mila posizioni. Al netto degli effetti stagionali, le posizioni presentano una </w:t>
      </w:r>
      <w:r w:rsidR="0018236E" w:rsidRPr="00A51547">
        <w:rPr>
          <w:rFonts w:cs="Arial"/>
          <w:szCs w:val="20"/>
        </w:rPr>
        <w:t>crescita congiunturale dello 0,</w:t>
      </w:r>
      <w:r w:rsidR="00FE281C" w:rsidRPr="00A51547">
        <w:rPr>
          <w:rFonts w:cs="Arial"/>
          <w:szCs w:val="20"/>
        </w:rPr>
        <w:t>6</w:t>
      </w:r>
      <w:r w:rsidR="00C04C35" w:rsidRPr="00A51547">
        <w:rPr>
          <w:rFonts w:cs="Arial"/>
          <w:szCs w:val="20"/>
        </w:rPr>
        <w:t xml:space="preserve">% </w:t>
      </w:r>
      <w:r w:rsidR="00FE281C" w:rsidRPr="00A51547">
        <w:rPr>
          <w:rFonts w:cs="Arial"/>
          <w:szCs w:val="20"/>
        </w:rPr>
        <w:t xml:space="preserve">sia </w:t>
      </w:r>
      <w:r w:rsidR="00C04C35" w:rsidRPr="00A51547">
        <w:rPr>
          <w:rFonts w:cs="Arial"/>
          <w:szCs w:val="20"/>
        </w:rPr>
        <w:t xml:space="preserve">nell’industria </w:t>
      </w:r>
      <w:r w:rsidR="00FE281C" w:rsidRPr="00A51547">
        <w:rPr>
          <w:rFonts w:cs="Arial"/>
          <w:szCs w:val="20"/>
        </w:rPr>
        <w:t xml:space="preserve">sia </w:t>
      </w:r>
      <w:r w:rsidR="00C04C35" w:rsidRPr="00A51547">
        <w:rPr>
          <w:rFonts w:cs="Arial"/>
          <w:szCs w:val="20"/>
        </w:rPr>
        <w:t xml:space="preserve">nei servizi; rispetto al </w:t>
      </w:r>
      <w:r w:rsidR="00FE281C" w:rsidRPr="00A51547">
        <w:rPr>
          <w:rFonts w:cs="Arial"/>
          <w:szCs w:val="20"/>
        </w:rPr>
        <w:t>primo</w:t>
      </w:r>
      <w:r w:rsidR="00C04C35" w:rsidRPr="00A51547">
        <w:rPr>
          <w:rFonts w:cs="Arial"/>
          <w:szCs w:val="20"/>
        </w:rPr>
        <w:t xml:space="preserve"> 201</w:t>
      </w:r>
      <w:r w:rsidR="00FE281C" w:rsidRPr="00A51547">
        <w:rPr>
          <w:rFonts w:cs="Arial"/>
          <w:szCs w:val="20"/>
        </w:rPr>
        <w:t>8</w:t>
      </w:r>
      <w:r w:rsidR="00C04C35" w:rsidRPr="00A51547">
        <w:rPr>
          <w:rFonts w:cs="Arial"/>
          <w:szCs w:val="20"/>
        </w:rPr>
        <w:t xml:space="preserve"> aumentano dell’1,</w:t>
      </w:r>
      <w:r w:rsidR="00FE281C" w:rsidRPr="00A51547">
        <w:rPr>
          <w:rFonts w:cs="Arial"/>
          <w:szCs w:val="20"/>
        </w:rPr>
        <w:t>5</w:t>
      </w:r>
      <w:r w:rsidR="00C04C35" w:rsidRPr="00A51547">
        <w:rPr>
          <w:rFonts w:cs="Arial"/>
          <w:szCs w:val="20"/>
        </w:rPr>
        <w:t>% nell’industria e del</w:t>
      </w:r>
      <w:r w:rsidR="00FE281C" w:rsidRPr="00A51547">
        <w:rPr>
          <w:rFonts w:cs="Arial"/>
          <w:szCs w:val="20"/>
        </w:rPr>
        <w:t>l’1</w:t>
      </w:r>
      <w:r w:rsidR="00C04C35" w:rsidRPr="00A51547">
        <w:rPr>
          <w:rFonts w:cs="Arial"/>
          <w:szCs w:val="20"/>
        </w:rPr>
        <w:t>,</w:t>
      </w:r>
      <w:r w:rsidR="00FE281C" w:rsidRPr="00A51547">
        <w:rPr>
          <w:rFonts w:cs="Arial"/>
          <w:szCs w:val="20"/>
        </w:rPr>
        <w:t>8</w:t>
      </w:r>
      <w:r w:rsidR="00C04C35" w:rsidRPr="00A51547">
        <w:rPr>
          <w:rFonts w:cs="Arial"/>
          <w:szCs w:val="20"/>
        </w:rPr>
        <w:t>% nei servizi.</w:t>
      </w:r>
      <w:r w:rsidR="005D31FC" w:rsidRPr="00A51547">
        <w:rPr>
          <w:rFonts w:cs="Arial"/>
          <w:szCs w:val="20"/>
        </w:rPr>
        <w:t xml:space="preserve"> </w:t>
      </w:r>
      <w:r w:rsidR="00FE281C" w:rsidRPr="00A51547">
        <w:rPr>
          <w:rFonts w:cs="Arial"/>
          <w:szCs w:val="20"/>
        </w:rPr>
        <w:t>L</w:t>
      </w:r>
      <w:r w:rsidR="00C04C35" w:rsidRPr="00A51547">
        <w:rPr>
          <w:rFonts w:cs="Arial"/>
          <w:szCs w:val="20"/>
        </w:rPr>
        <w:t xml:space="preserve">e posizioni </w:t>
      </w:r>
      <w:r w:rsidR="00C04C35" w:rsidRPr="0063268C">
        <w:rPr>
          <w:rFonts w:cs="Arial"/>
          <w:szCs w:val="20"/>
        </w:rPr>
        <w:t>lavorative in somministrazione</w:t>
      </w:r>
      <w:r w:rsidR="004F4CE9">
        <w:rPr>
          <w:rFonts w:cs="Arial"/>
          <w:szCs w:val="20"/>
        </w:rPr>
        <w:t>,</w:t>
      </w:r>
      <w:r w:rsidR="00C04C35" w:rsidRPr="0063268C">
        <w:rPr>
          <w:rFonts w:cs="Arial"/>
          <w:szCs w:val="20"/>
        </w:rPr>
        <w:t xml:space="preserve"> </w:t>
      </w:r>
      <w:r w:rsidR="004F4CE9" w:rsidRPr="00A51547">
        <w:rPr>
          <w:rFonts w:cs="Arial"/>
          <w:szCs w:val="20"/>
        </w:rPr>
        <w:t>dopo sei anni di crescita</w:t>
      </w:r>
      <w:r w:rsidR="004F4CE9">
        <w:rPr>
          <w:rFonts w:cs="Arial"/>
          <w:szCs w:val="20"/>
        </w:rPr>
        <w:t xml:space="preserve">, presentano un </w:t>
      </w:r>
      <w:r w:rsidR="004F4CE9" w:rsidRPr="00A51547">
        <w:rPr>
          <w:rFonts w:cs="Arial"/>
          <w:szCs w:val="20"/>
        </w:rPr>
        <w:t xml:space="preserve">primo segnale di riduzione </w:t>
      </w:r>
      <w:r w:rsidR="00FE281C" w:rsidRPr="0063268C">
        <w:rPr>
          <w:rFonts w:cs="Arial"/>
          <w:szCs w:val="20"/>
        </w:rPr>
        <w:t xml:space="preserve">in termini </w:t>
      </w:r>
      <w:r w:rsidR="004F4CE9" w:rsidRPr="0063268C">
        <w:rPr>
          <w:rFonts w:cs="Arial"/>
          <w:szCs w:val="20"/>
        </w:rPr>
        <w:t xml:space="preserve">sia </w:t>
      </w:r>
      <w:r w:rsidR="00FE281C" w:rsidRPr="0063268C">
        <w:rPr>
          <w:rFonts w:cs="Arial"/>
          <w:szCs w:val="20"/>
        </w:rPr>
        <w:t>congiunturali sia</w:t>
      </w:r>
      <w:r w:rsidR="004F4CE9">
        <w:rPr>
          <w:rFonts w:cs="Arial"/>
          <w:szCs w:val="20"/>
        </w:rPr>
        <w:t xml:space="preserve"> tendenziali</w:t>
      </w:r>
      <w:r w:rsidR="00FE281C" w:rsidRPr="0063268C">
        <w:rPr>
          <w:rFonts w:cs="Arial"/>
          <w:szCs w:val="20"/>
        </w:rPr>
        <w:t>, registrando una variazione di -0,</w:t>
      </w:r>
      <w:r w:rsidR="0063268C" w:rsidRPr="0063268C">
        <w:rPr>
          <w:rFonts w:cs="Arial"/>
          <w:szCs w:val="20"/>
        </w:rPr>
        <w:t>9</w:t>
      </w:r>
      <w:r w:rsidR="00FE281C" w:rsidRPr="0063268C">
        <w:rPr>
          <w:rFonts w:cs="Arial"/>
          <w:szCs w:val="20"/>
        </w:rPr>
        <w:t>% sul trimestre precedente e di -0,</w:t>
      </w:r>
      <w:r w:rsidR="0063268C" w:rsidRPr="0063268C">
        <w:rPr>
          <w:rFonts w:cs="Arial"/>
          <w:szCs w:val="20"/>
        </w:rPr>
        <w:t>1</w:t>
      </w:r>
      <w:r w:rsidR="00FE281C" w:rsidRPr="0063268C">
        <w:rPr>
          <w:rFonts w:cs="Arial"/>
          <w:szCs w:val="20"/>
        </w:rPr>
        <w:t xml:space="preserve">% </w:t>
      </w:r>
      <w:r w:rsidR="004F4CE9" w:rsidRPr="0063268C">
        <w:rPr>
          <w:rFonts w:cs="Arial"/>
          <w:szCs w:val="20"/>
        </w:rPr>
        <w:t xml:space="preserve">su base annua </w:t>
      </w:r>
      <w:r w:rsidR="00C04C35" w:rsidRPr="00A51547">
        <w:rPr>
          <w:rFonts w:cs="Arial"/>
          <w:szCs w:val="20"/>
        </w:rPr>
        <w:t xml:space="preserve">(Tavola </w:t>
      </w:r>
      <w:r w:rsidR="003C0DC8" w:rsidRPr="00A51547">
        <w:rPr>
          <w:rFonts w:cs="Arial"/>
          <w:szCs w:val="20"/>
        </w:rPr>
        <w:t>4</w:t>
      </w:r>
      <w:r w:rsidR="00506DCD" w:rsidRPr="00A51547">
        <w:rPr>
          <w:rFonts w:cs="Arial"/>
          <w:szCs w:val="20"/>
        </w:rPr>
        <w:t>)</w:t>
      </w:r>
      <w:r w:rsidR="00C04C35" w:rsidRPr="00A51547">
        <w:rPr>
          <w:rFonts w:cs="Arial"/>
          <w:szCs w:val="20"/>
        </w:rPr>
        <w:t>.</w:t>
      </w:r>
      <w:r w:rsidR="0028065C" w:rsidRPr="00A51547">
        <w:rPr>
          <w:rFonts w:cs="Arial"/>
          <w:szCs w:val="20"/>
        </w:rPr>
        <w:t xml:space="preserve"> </w:t>
      </w:r>
    </w:p>
    <w:p w14:paraId="6FD7E794" w14:textId="71FFA181" w:rsidR="004176C3" w:rsidRDefault="00D97BFC" w:rsidP="004E234D">
      <w:pPr>
        <w:rPr>
          <w:rFonts w:cs="Arial"/>
          <w:szCs w:val="20"/>
        </w:rPr>
      </w:pPr>
      <w:r w:rsidRPr="00A51547">
        <w:rPr>
          <w:rFonts w:cs="Arial"/>
          <w:szCs w:val="20"/>
        </w:rPr>
        <w:t xml:space="preserve">Secondo i </w:t>
      </w:r>
      <w:r w:rsidR="004176C3" w:rsidRPr="00A51547">
        <w:rPr>
          <w:rFonts w:cs="Arial"/>
          <w:szCs w:val="20"/>
        </w:rPr>
        <w:t xml:space="preserve">dati Inps, nel </w:t>
      </w:r>
      <w:r w:rsidR="005A5BEF" w:rsidRPr="00A51547">
        <w:rPr>
          <w:rFonts w:cs="Arial"/>
          <w:szCs w:val="20"/>
        </w:rPr>
        <w:t xml:space="preserve">primo </w:t>
      </w:r>
      <w:r w:rsidR="004176C3" w:rsidRPr="00A51547">
        <w:rPr>
          <w:rFonts w:cs="Arial"/>
          <w:szCs w:val="20"/>
        </w:rPr>
        <w:t>trimestre del 201</w:t>
      </w:r>
      <w:r w:rsidR="005A5BEF" w:rsidRPr="00A51547">
        <w:rPr>
          <w:rFonts w:cs="Arial"/>
          <w:szCs w:val="20"/>
        </w:rPr>
        <w:t>9</w:t>
      </w:r>
      <w:r w:rsidR="004176C3" w:rsidRPr="00A51547">
        <w:rPr>
          <w:rFonts w:cs="Arial"/>
          <w:szCs w:val="20"/>
        </w:rPr>
        <w:t xml:space="preserve"> il saldo tra le attivazioni e le cessazioni nel corso di un anno è </w:t>
      </w:r>
      <w:r w:rsidR="004176C3" w:rsidRPr="004C4BA0">
        <w:rPr>
          <w:rFonts w:cs="Arial"/>
          <w:szCs w:val="20"/>
        </w:rPr>
        <w:t xml:space="preserve">positivo per </w:t>
      </w:r>
      <w:r w:rsidRPr="004C4BA0">
        <w:rPr>
          <w:rFonts w:cs="Arial"/>
          <w:szCs w:val="20"/>
        </w:rPr>
        <w:t xml:space="preserve">tutte le </w:t>
      </w:r>
      <w:r w:rsidR="004176C3" w:rsidRPr="004C4BA0">
        <w:rPr>
          <w:rFonts w:cs="Arial"/>
          <w:szCs w:val="20"/>
        </w:rPr>
        <w:t xml:space="preserve">classi dimensionali d’impresa (Tavola </w:t>
      </w:r>
      <w:r w:rsidR="003C0DC8" w:rsidRPr="004C4BA0">
        <w:rPr>
          <w:rFonts w:cs="Arial"/>
          <w:szCs w:val="20"/>
        </w:rPr>
        <w:t>5</w:t>
      </w:r>
      <w:r w:rsidR="004176C3" w:rsidRPr="004C4BA0">
        <w:rPr>
          <w:rFonts w:cs="Arial"/>
          <w:szCs w:val="20"/>
        </w:rPr>
        <w:t xml:space="preserve">). L’incremento maggiore si riscontra nella classe </w:t>
      </w:r>
      <w:r w:rsidR="007E6A12" w:rsidRPr="004C4BA0">
        <w:rPr>
          <w:rFonts w:cs="Arial"/>
          <w:szCs w:val="20"/>
        </w:rPr>
        <w:t xml:space="preserve">fino a </w:t>
      </w:r>
      <w:r w:rsidR="00C66EDA" w:rsidRPr="004C4BA0">
        <w:rPr>
          <w:rFonts w:cs="Arial"/>
          <w:szCs w:val="20"/>
        </w:rPr>
        <w:t>9 dipendenti</w:t>
      </w:r>
      <w:r w:rsidR="00C66EDA" w:rsidRPr="00A51547">
        <w:rPr>
          <w:rFonts w:cs="Arial"/>
          <w:szCs w:val="20"/>
        </w:rPr>
        <w:t xml:space="preserve"> </w:t>
      </w:r>
      <w:r w:rsidR="004176C3" w:rsidRPr="00A51547">
        <w:rPr>
          <w:rFonts w:cs="Arial"/>
          <w:szCs w:val="20"/>
        </w:rPr>
        <w:t>(+</w:t>
      </w:r>
      <w:r w:rsidR="001F591D" w:rsidRPr="00A51547">
        <w:rPr>
          <w:rFonts w:cs="Arial"/>
          <w:szCs w:val="20"/>
        </w:rPr>
        <w:t>1</w:t>
      </w:r>
      <w:r w:rsidR="005A5BEF" w:rsidRPr="00A51547">
        <w:rPr>
          <w:rFonts w:cs="Arial"/>
          <w:szCs w:val="20"/>
        </w:rPr>
        <w:t>36</w:t>
      </w:r>
      <w:r w:rsidR="004176C3" w:rsidRPr="00A51547">
        <w:rPr>
          <w:rFonts w:cs="Arial"/>
          <w:szCs w:val="20"/>
        </w:rPr>
        <w:t xml:space="preserve"> mila), quello minore nell</w:t>
      </w:r>
      <w:r w:rsidR="005A09A4" w:rsidRPr="00A51547">
        <w:rPr>
          <w:rFonts w:cs="Arial"/>
          <w:szCs w:val="20"/>
        </w:rPr>
        <w:t>a</w:t>
      </w:r>
      <w:r w:rsidR="004176C3" w:rsidRPr="00A51547">
        <w:rPr>
          <w:rFonts w:cs="Arial"/>
          <w:szCs w:val="20"/>
        </w:rPr>
        <w:t xml:space="preserve"> class</w:t>
      </w:r>
      <w:r w:rsidR="005A5BEF" w:rsidRPr="00A51547">
        <w:rPr>
          <w:rFonts w:cs="Arial"/>
          <w:szCs w:val="20"/>
        </w:rPr>
        <w:t>e</w:t>
      </w:r>
      <w:r w:rsidR="004176C3" w:rsidRPr="00A51547">
        <w:rPr>
          <w:rFonts w:cs="Arial"/>
          <w:szCs w:val="20"/>
        </w:rPr>
        <w:t xml:space="preserve"> </w:t>
      </w:r>
      <w:r w:rsidR="005A5BEF" w:rsidRPr="00A51547">
        <w:rPr>
          <w:rFonts w:cs="Arial"/>
          <w:szCs w:val="20"/>
        </w:rPr>
        <w:t xml:space="preserve">250 </w:t>
      </w:r>
      <w:r w:rsidR="001F591D" w:rsidRPr="00A51547">
        <w:rPr>
          <w:rFonts w:cs="Arial"/>
          <w:szCs w:val="20"/>
        </w:rPr>
        <w:t xml:space="preserve">dipendenti </w:t>
      </w:r>
      <w:r w:rsidR="005A5BEF" w:rsidRPr="00A51547">
        <w:rPr>
          <w:rFonts w:cs="Arial"/>
          <w:szCs w:val="20"/>
        </w:rPr>
        <w:t xml:space="preserve">e oltre </w:t>
      </w:r>
      <w:r w:rsidR="004176C3" w:rsidRPr="00A51547">
        <w:rPr>
          <w:rFonts w:cs="Arial"/>
          <w:szCs w:val="20"/>
        </w:rPr>
        <w:t>(+</w:t>
      </w:r>
      <w:r w:rsidR="005A5BEF" w:rsidRPr="00A51547">
        <w:rPr>
          <w:rFonts w:cs="Arial"/>
          <w:szCs w:val="20"/>
        </w:rPr>
        <w:t>66</w:t>
      </w:r>
      <w:r w:rsidR="004176C3" w:rsidRPr="00A51547">
        <w:rPr>
          <w:rFonts w:cs="Arial"/>
          <w:szCs w:val="20"/>
        </w:rPr>
        <w:t xml:space="preserve"> mila).</w:t>
      </w:r>
    </w:p>
    <w:p w14:paraId="18EA4ED4" w14:textId="77777777" w:rsidR="00EC27FB" w:rsidRPr="00A51547" w:rsidRDefault="00EC27FB" w:rsidP="004E234D">
      <w:pPr>
        <w:rPr>
          <w:rFonts w:cs="Arial"/>
          <w:szCs w:val="20"/>
        </w:rPr>
      </w:pPr>
    </w:p>
    <w:p w14:paraId="1AD5EC7A" w14:textId="4D539639" w:rsidR="009C449B" w:rsidRPr="008142E9" w:rsidRDefault="009C449B" w:rsidP="009C449B">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80"/>
        <w:jc w:val="left"/>
        <w:rPr>
          <w:rFonts w:ascii="Arial Narrow" w:hAnsi="Arial Narrow" w:cs="Arial"/>
          <w:kern w:val="28"/>
          <w:sz w:val="19"/>
          <w:szCs w:val="19"/>
        </w:rPr>
      </w:pPr>
      <w:r w:rsidRPr="00A51547">
        <w:rPr>
          <w:rFonts w:ascii="Arial Narrow" w:hAnsi="Arial Narrow" w:cs="Arial"/>
          <w:b/>
          <w:color w:val="17365D"/>
          <w:kern w:val="28"/>
        </w:rPr>
        <w:t>TAVOLA 5. ATTIVAZIONI, CESSAZIONI E POSIZIONI LAVORATIVE DIPENDENTI PER CLASSE DIMENSIONALE NELLE IMPRESE PRIVATE (a)</w:t>
      </w:r>
      <w:r w:rsidRPr="00A51547">
        <w:rPr>
          <w:rFonts w:ascii="Arial Narrow" w:hAnsi="Arial Narrow" w:cs="Arial"/>
          <w:b/>
          <w:color w:val="17365D"/>
          <w:kern w:val="28"/>
        </w:rPr>
        <w:br/>
      </w:r>
      <w:r w:rsidRPr="00A51547">
        <w:rPr>
          <w:rFonts w:ascii="Arial Narrow" w:hAnsi="Arial Narrow" w:cs="Arial"/>
          <w:kern w:val="28"/>
          <w:sz w:val="19"/>
          <w:szCs w:val="19"/>
        </w:rPr>
        <w:t xml:space="preserve">I trimestre 2019, dati grezzi, valori in migliaia </w:t>
      </w:r>
    </w:p>
    <w:tbl>
      <w:tblPr>
        <w:tblW w:w="9645" w:type="dxa"/>
        <w:tblInd w:w="93" w:type="dxa"/>
        <w:tblBorders>
          <w:top w:val="single" w:sz="4" w:space="0" w:color="auto"/>
          <w:bottom w:val="single" w:sz="4" w:space="0" w:color="auto"/>
          <w:insideH w:val="single" w:sz="4" w:space="0" w:color="auto"/>
        </w:tblBorders>
        <w:tblLook w:val="00A0" w:firstRow="1" w:lastRow="0" w:firstColumn="1" w:lastColumn="0" w:noHBand="0" w:noVBand="0"/>
      </w:tblPr>
      <w:tblGrid>
        <w:gridCol w:w="3360"/>
        <w:gridCol w:w="1257"/>
        <w:gridCol w:w="1257"/>
        <w:gridCol w:w="1257"/>
        <w:gridCol w:w="1257"/>
        <w:gridCol w:w="1257"/>
      </w:tblGrid>
      <w:tr w:rsidR="009C449B" w:rsidRPr="00A4252C" w14:paraId="659B3CB6" w14:textId="77777777" w:rsidTr="00A11063">
        <w:trPr>
          <w:trHeight w:val="255"/>
        </w:trPr>
        <w:tc>
          <w:tcPr>
            <w:tcW w:w="3360" w:type="dxa"/>
            <w:shd w:val="clear" w:color="auto" w:fill="17365D"/>
            <w:vAlign w:val="center"/>
          </w:tcPr>
          <w:p w14:paraId="1BDDB88C" w14:textId="77777777" w:rsidR="009C449B" w:rsidRPr="00A4252C" w:rsidRDefault="009C449B" w:rsidP="00A11063">
            <w:pPr>
              <w:spacing w:before="40" w:after="20"/>
              <w:jc w:val="left"/>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 xml:space="preserve">DOMANDA DI LAVORO DIPENDENTE - IMPRESE PRIVATE </w:t>
            </w:r>
            <w:r w:rsidRPr="00A4252C">
              <w:rPr>
                <w:rFonts w:ascii="Arial Narrow" w:hAnsi="Arial Narrow"/>
                <w:bCs/>
                <w:color w:val="FFFFFF"/>
                <w:sz w:val="17"/>
                <w:szCs w:val="17"/>
                <w:lang w:eastAsia="it-IT"/>
              </w:rPr>
              <w:t>(sezioni B-U Ateco 2007 esclusi operai agricoli e i lavoratori domestici)</w:t>
            </w:r>
          </w:p>
        </w:tc>
        <w:tc>
          <w:tcPr>
            <w:tcW w:w="1257" w:type="dxa"/>
            <w:shd w:val="clear" w:color="auto" w:fill="17365D"/>
            <w:vAlign w:val="center"/>
          </w:tcPr>
          <w:p w14:paraId="23FD9D7D" w14:textId="77777777" w:rsidR="009C449B" w:rsidRPr="00A4252C" w:rsidRDefault="009C449B" w:rsidP="00A1106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fino a 9 dipendenti</w:t>
            </w:r>
          </w:p>
        </w:tc>
        <w:tc>
          <w:tcPr>
            <w:tcW w:w="1257" w:type="dxa"/>
            <w:shd w:val="clear" w:color="auto" w:fill="17365D"/>
            <w:vAlign w:val="center"/>
          </w:tcPr>
          <w:p w14:paraId="538F9AF4" w14:textId="77777777" w:rsidR="009C449B" w:rsidRPr="00A4252C" w:rsidRDefault="009C449B" w:rsidP="00A1106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da 10 a 49 dipendenti</w:t>
            </w:r>
          </w:p>
        </w:tc>
        <w:tc>
          <w:tcPr>
            <w:tcW w:w="1257" w:type="dxa"/>
            <w:shd w:val="clear" w:color="auto" w:fill="17365D"/>
            <w:vAlign w:val="center"/>
          </w:tcPr>
          <w:p w14:paraId="4738549D" w14:textId="77777777" w:rsidR="009C449B" w:rsidRPr="00A4252C" w:rsidRDefault="009C449B" w:rsidP="00A1106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da 50 a 249 dipendenti</w:t>
            </w:r>
          </w:p>
        </w:tc>
        <w:tc>
          <w:tcPr>
            <w:tcW w:w="1257" w:type="dxa"/>
            <w:shd w:val="clear" w:color="auto" w:fill="17365D"/>
            <w:vAlign w:val="center"/>
          </w:tcPr>
          <w:p w14:paraId="5712D9EF" w14:textId="77777777" w:rsidR="009C449B" w:rsidRPr="00A4252C" w:rsidRDefault="009C449B" w:rsidP="00A1106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250 dipendenti e oltre</w:t>
            </w:r>
          </w:p>
        </w:tc>
        <w:tc>
          <w:tcPr>
            <w:tcW w:w="1257" w:type="dxa"/>
            <w:shd w:val="clear" w:color="auto" w:fill="17365D"/>
            <w:vAlign w:val="center"/>
          </w:tcPr>
          <w:p w14:paraId="093F89EF" w14:textId="77777777" w:rsidR="009C449B" w:rsidRPr="00A4252C" w:rsidRDefault="009C449B" w:rsidP="00A11063">
            <w:pPr>
              <w:spacing w:before="40" w:after="20"/>
              <w:jc w:val="center"/>
              <w:rPr>
                <w:rFonts w:ascii="Arial Narrow" w:hAnsi="Arial Narrow"/>
                <w:b/>
                <w:bCs/>
                <w:color w:val="FFFFFF"/>
                <w:sz w:val="17"/>
                <w:szCs w:val="17"/>
                <w:lang w:eastAsia="it-IT"/>
              </w:rPr>
            </w:pPr>
            <w:r w:rsidRPr="00A4252C">
              <w:rPr>
                <w:rFonts w:ascii="Arial Narrow" w:hAnsi="Arial Narrow"/>
                <w:b/>
                <w:bCs/>
                <w:color w:val="FFFFFF"/>
                <w:sz w:val="17"/>
                <w:szCs w:val="17"/>
                <w:lang w:eastAsia="it-IT"/>
              </w:rPr>
              <w:t>Totale</w:t>
            </w:r>
          </w:p>
        </w:tc>
      </w:tr>
      <w:tr w:rsidR="009C449B" w:rsidRPr="00A4252C" w14:paraId="42C8E288" w14:textId="77777777" w:rsidTr="00A11063">
        <w:trPr>
          <w:trHeight w:val="267"/>
        </w:trPr>
        <w:tc>
          <w:tcPr>
            <w:tcW w:w="3360" w:type="dxa"/>
            <w:noWrap/>
            <w:vAlign w:val="center"/>
          </w:tcPr>
          <w:p w14:paraId="0F74F660" w14:textId="77777777" w:rsidR="009C449B" w:rsidRPr="00A4252C" w:rsidRDefault="009C449B" w:rsidP="00A11063">
            <w:pPr>
              <w:spacing w:before="40" w:after="20"/>
              <w:rPr>
                <w:rFonts w:ascii="Arial Narrow" w:hAnsi="Arial Narrow"/>
                <w:color w:val="000000"/>
                <w:sz w:val="17"/>
                <w:szCs w:val="17"/>
                <w:lang w:val="en-GB" w:eastAsia="en-GB"/>
              </w:rPr>
            </w:pPr>
            <w:r w:rsidRPr="00A4252C">
              <w:rPr>
                <w:rFonts w:ascii="Arial Narrow" w:hAnsi="Arial Narrow"/>
                <w:color w:val="000000"/>
                <w:sz w:val="17"/>
                <w:szCs w:val="17"/>
                <w:lang w:eastAsia="en-GB"/>
              </w:rPr>
              <w:t xml:space="preserve">Attivazioni </w:t>
            </w:r>
            <w:r w:rsidRPr="00A4252C">
              <w:rPr>
                <w:rFonts w:ascii="Arial Narrow" w:hAnsi="Arial Narrow"/>
                <w:color w:val="000000"/>
                <w:sz w:val="17"/>
                <w:szCs w:val="17"/>
                <w:lang w:val="en-GB" w:eastAsia="en-GB"/>
              </w:rPr>
              <w:t>(b)</w:t>
            </w:r>
          </w:p>
        </w:tc>
        <w:tc>
          <w:tcPr>
            <w:tcW w:w="1257" w:type="dxa"/>
            <w:shd w:val="clear" w:color="auto" w:fill="F2F2F2"/>
            <w:noWrap/>
          </w:tcPr>
          <w:p w14:paraId="151C75B4"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2.318</w:t>
            </w:r>
          </w:p>
        </w:tc>
        <w:tc>
          <w:tcPr>
            <w:tcW w:w="1257" w:type="dxa"/>
            <w:noWrap/>
          </w:tcPr>
          <w:p w14:paraId="7FDC3009"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1.904</w:t>
            </w:r>
          </w:p>
        </w:tc>
        <w:tc>
          <w:tcPr>
            <w:tcW w:w="1257" w:type="dxa"/>
            <w:shd w:val="clear" w:color="auto" w:fill="F2F2F2"/>
            <w:noWrap/>
          </w:tcPr>
          <w:p w14:paraId="3D2BCB92"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1.126</w:t>
            </w:r>
          </w:p>
        </w:tc>
        <w:tc>
          <w:tcPr>
            <w:tcW w:w="1257" w:type="dxa"/>
            <w:noWrap/>
          </w:tcPr>
          <w:p w14:paraId="542D7515"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2.013</w:t>
            </w:r>
          </w:p>
        </w:tc>
        <w:tc>
          <w:tcPr>
            <w:tcW w:w="1257" w:type="dxa"/>
            <w:shd w:val="clear" w:color="auto" w:fill="F2F2F2"/>
            <w:noWrap/>
          </w:tcPr>
          <w:p w14:paraId="6EF186AF"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7.362</w:t>
            </w:r>
          </w:p>
        </w:tc>
      </w:tr>
      <w:tr w:rsidR="009C449B" w:rsidRPr="00A4252C" w14:paraId="67C9E50C" w14:textId="77777777" w:rsidTr="00A11063">
        <w:trPr>
          <w:trHeight w:val="255"/>
        </w:trPr>
        <w:tc>
          <w:tcPr>
            <w:tcW w:w="3360" w:type="dxa"/>
            <w:noWrap/>
            <w:vAlign w:val="center"/>
          </w:tcPr>
          <w:p w14:paraId="2FA75818" w14:textId="77777777" w:rsidR="009C449B" w:rsidRPr="00A4252C" w:rsidRDefault="009C449B" w:rsidP="00A11063">
            <w:pPr>
              <w:spacing w:before="40" w:after="20"/>
              <w:rPr>
                <w:rFonts w:ascii="Arial Narrow" w:hAnsi="Arial Narrow"/>
                <w:color w:val="000000"/>
                <w:sz w:val="17"/>
                <w:szCs w:val="17"/>
                <w:lang w:eastAsia="en-GB"/>
              </w:rPr>
            </w:pPr>
            <w:r w:rsidRPr="00A4252C">
              <w:rPr>
                <w:rFonts w:ascii="Arial Narrow" w:hAnsi="Arial Narrow"/>
                <w:color w:val="000000"/>
                <w:sz w:val="17"/>
                <w:szCs w:val="17"/>
                <w:lang w:eastAsia="en-GB"/>
              </w:rPr>
              <w:t>Cessazioni (c)</w:t>
            </w:r>
          </w:p>
        </w:tc>
        <w:tc>
          <w:tcPr>
            <w:tcW w:w="1257" w:type="dxa"/>
            <w:shd w:val="clear" w:color="auto" w:fill="F2F2F2"/>
            <w:noWrap/>
          </w:tcPr>
          <w:p w14:paraId="41EB5EA5"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2.183</w:t>
            </w:r>
          </w:p>
        </w:tc>
        <w:tc>
          <w:tcPr>
            <w:tcW w:w="1257" w:type="dxa"/>
            <w:noWrap/>
          </w:tcPr>
          <w:p w14:paraId="7D9AB62E"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1.828</w:t>
            </w:r>
          </w:p>
        </w:tc>
        <w:tc>
          <w:tcPr>
            <w:tcW w:w="1257" w:type="dxa"/>
            <w:shd w:val="clear" w:color="auto" w:fill="F2F2F2"/>
            <w:noWrap/>
          </w:tcPr>
          <w:p w14:paraId="334C0589"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1.054</w:t>
            </w:r>
          </w:p>
        </w:tc>
        <w:tc>
          <w:tcPr>
            <w:tcW w:w="1257" w:type="dxa"/>
            <w:noWrap/>
          </w:tcPr>
          <w:p w14:paraId="067D384F"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1.947</w:t>
            </w:r>
          </w:p>
        </w:tc>
        <w:tc>
          <w:tcPr>
            <w:tcW w:w="1257" w:type="dxa"/>
            <w:shd w:val="clear" w:color="auto" w:fill="F2F2F2"/>
            <w:noWrap/>
          </w:tcPr>
          <w:p w14:paraId="0CE5D285" w14:textId="77777777" w:rsidR="009C449B" w:rsidRPr="00966748" w:rsidRDefault="009C449B" w:rsidP="00A11063">
            <w:pPr>
              <w:spacing w:before="40" w:after="20"/>
              <w:jc w:val="right"/>
              <w:rPr>
                <w:rFonts w:ascii="Arial Narrow" w:hAnsi="Arial Narrow"/>
                <w:sz w:val="17"/>
                <w:szCs w:val="17"/>
              </w:rPr>
            </w:pPr>
            <w:r w:rsidRPr="00391D5B">
              <w:rPr>
                <w:rFonts w:ascii="Arial Narrow" w:hAnsi="Arial Narrow"/>
                <w:sz w:val="17"/>
                <w:szCs w:val="17"/>
              </w:rPr>
              <w:t>7.011</w:t>
            </w:r>
          </w:p>
        </w:tc>
      </w:tr>
      <w:tr w:rsidR="009C449B" w:rsidRPr="00A4252C" w14:paraId="32415EFB" w14:textId="77777777" w:rsidTr="00A11063">
        <w:trPr>
          <w:trHeight w:val="255"/>
        </w:trPr>
        <w:tc>
          <w:tcPr>
            <w:tcW w:w="3360" w:type="dxa"/>
            <w:noWrap/>
            <w:vAlign w:val="center"/>
          </w:tcPr>
          <w:p w14:paraId="4764E80F" w14:textId="77777777" w:rsidR="009C449B" w:rsidRPr="00A4252C" w:rsidRDefault="009C449B" w:rsidP="00A11063">
            <w:pPr>
              <w:spacing w:before="40" w:after="20"/>
              <w:rPr>
                <w:rFonts w:ascii="Arial Narrow" w:hAnsi="Arial Narrow"/>
                <w:b/>
                <w:bCs/>
                <w:color w:val="000000"/>
                <w:sz w:val="17"/>
                <w:szCs w:val="17"/>
                <w:lang w:eastAsia="en-GB"/>
              </w:rPr>
            </w:pPr>
            <w:r w:rsidRPr="00A4252C">
              <w:rPr>
                <w:rFonts w:ascii="Arial Narrow" w:hAnsi="Arial Narrow"/>
                <w:b/>
                <w:bCs/>
                <w:color w:val="000000"/>
                <w:sz w:val="17"/>
                <w:szCs w:val="17"/>
                <w:lang w:eastAsia="en-GB"/>
              </w:rPr>
              <w:t>Posizioni lavorative (d)</w:t>
            </w:r>
          </w:p>
        </w:tc>
        <w:tc>
          <w:tcPr>
            <w:tcW w:w="1257" w:type="dxa"/>
            <w:shd w:val="clear" w:color="auto" w:fill="F2F2F2"/>
            <w:noWrap/>
            <w:vAlign w:val="bottom"/>
          </w:tcPr>
          <w:p w14:paraId="0527541B" w14:textId="77777777" w:rsidR="009C449B" w:rsidRPr="00966748" w:rsidRDefault="009C449B" w:rsidP="00A11063">
            <w:pPr>
              <w:spacing w:before="40" w:after="20"/>
              <w:jc w:val="right"/>
              <w:rPr>
                <w:rFonts w:ascii="Arial Narrow" w:hAnsi="Arial Narrow"/>
                <w:b/>
                <w:bCs/>
                <w:sz w:val="17"/>
                <w:szCs w:val="17"/>
              </w:rPr>
            </w:pPr>
            <w:r w:rsidRPr="00966748">
              <w:rPr>
                <w:rFonts w:ascii="Arial Narrow" w:hAnsi="Arial Narrow"/>
                <w:b/>
                <w:bCs/>
                <w:sz w:val="17"/>
                <w:szCs w:val="17"/>
              </w:rPr>
              <w:t>1</w:t>
            </w:r>
            <w:r>
              <w:rPr>
                <w:rFonts w:ascii="Arial Narrow" w:hAnsi="Arial Narrow"/>
                <w:b/>
                <w:bCs/>
                <w:sz w:val="17"/>
                <w:szCs w:val="17"/>
              </w:rPr>
              <w:t>3</w:t>
            </w:r>
            <w:r w:rsidRPr="00966748">
              <w:rPr>
                <w:rFonts w:ascii="Arial Narrow" w:hAnsi="Arial Narrow"/>
                <w:b/>
                <w:bCs/>
                <w:sz w:val="17"/>
                <w:szCs w:val="17"/>
              </w:rPr>
              <w:t>6</w:t>
            </w:r>
          </w:p>
        </w:tc>
        <w:tc>
          <w:tcPr>
            <w:tcW w:w="1257" w:type="dxa"/>
            <w:shd w:val="clear" w:color="auto" w:fill="FFFFFF"/>
            <w:noWrap/>
            <w:vAlign w:val="bottom"/>
          </w:tcPr>
          <w:p w14:paraId="50D23C51" w14:textId="77777777" w:rsidR="009C449B" w:rsidRPr="00966748" w:rsidRDefault="009C449B" w:rsidP="00A11063">
            <w:pPr>
              <w:spacing w:before="40" w:after="20"/>
              <w:jc w:val="right"/>
              <w:rPr>
                <w:rFonts w:ascii="Arial Narrow" w:hAnsi="Arial Narrow"/>
                <w:b/>
                <w:bCs/>
                <w:sz w:val="17"/>
                <w:szCs w:val="17"/>
              </w:rPr>
            </w:pPr>
            <w:r>
              <w:rPr>
                <w:rFonts w:ascii="Arial Narrow" w:hAnsi="Arial Narrow"/>
                <w:b/>
                <w:bCs/>
                <w:sz w:val="17"/>
                <w:szCs w:val="17"/>
              </w:rPr>
              <w:t>76</w:t>
            </w:r>
          </w:p>
        </w:tc>
        <w:tc>
          <w:tcPr>
            <w:tcW w:w="1257" w:type="dxa"/>
            <w:shd w:val="clear" w:color="auto" w:fill="F2F2F2"/>
            <w:noWrap/>
            <w:vAlign w:val="bottom"/>
          </w:tcPr>
          <w:p w14:paraId="2C60C538" w14:textId="77777777" w:rsidR="009C449B" w:rsidRPr="00966748" w:rsidRDefault="009C449B" w:rsidP="00A11063">
            <w:pPr>
              <w:spacing w:before="40" w:after="20"/>
              <w:jc w:val="right"/>
              <w:rPr>
                <w:rFonts w:ascii="Arial Narrow" w:hAnsi="Arial Narrow"/>
                <w:b/>
                <w:bCs/>
                <w:sz w:val="17"/>
                <w:szCs w:val="17"/>
              </w:rPr>
            </w:pPr>
            <w:r>
              <w:rPr>
                <w:rFonts w:ascii="Arial Narrow" w:hAnsi="Arial Narrow"/>
                <w:b/>
                <w:bCs/>
                <w:sz w:val="17"/>
                <w:szCs w:val="17"/>
              </w:rPr>
              <w:t>73</w:t>
            </w:r>
          </w:p>
        </w:tc>
        <w:tc>
          <w:tcPr>
            <w:tcW w:w="1257" w:type="dxa"/>
            <w:shd w:val="clear" w:color="auto" w:fill="FFFFFF"/>
            <w:noWrap/>
            <w:vAlign w:val="bottom"/>
          </w:tcPr>
          <w:p w14:paraId="177ACE5D" w14:textId="77777777" w:rsidR="009C449B" w:rsidRPr="00966748" w:rsidRDefault="009C449B" w:rsidP="00A11063">
            <w:pPr>
              <w:spacing w:before="40" w:after="20"/>
              <w:jc w:val="right"/>
              <w:rPr>
                <w:rFonts w:ascii="Arial Narrow" w:hAnsi="Arial Narrow"/>
                <w:b/>
                <w:bCs/>
                <w:sz w:val="17"/>
                <w:szCs w:val="17"/>
              </w:rPr>
            </w:pPr>
            <w:r>
              <w:rPr>
                <w:rFonts w:ascii="Arial Narrow" w:hAnsi="Arial Narrow"/>
                <w:b/>
                <w:bCs/>
                <w:sz w:val="17"/>
                <w:szCs w:val="17"/>
              </w:rPr>
              <w:t>66</w:t>
            </w:r>
          </w:p>
        </w:tc>
        <w:tc>
          <w:tcPr>
            <w:tcW w:w="1257" w:type="dxa"/>
            <w:shd w:val="clear" w:color="auto" w:fill="F2F2F2"/>
            <w:noWrap/>
            <w:vAlign w:val="bottom"/>
          </w:tcPr>
          <w:p w14:paraId="5D4B712B" w14:textId="77777777" w:rsidR="009C449B" w:rsidRPr="00966748" w:rsidRDefault="009C449B" w:rsidP="00A11063">
            <w:pPr>
              <w:spacing w:before="40" w:after="20"/>
              <w:jc w:val="right"/>
              <w:rPr>
                <w:rFonts w:ascii="Arial Narrow" w:hAnsi="Arial Narrow"/>
                <w:b/>
                <w:bCs/>
                <w:sz w:val="17"/>
                <w:szCs w:val="17"/>
              </w:rPr>
            </w:pPr>
            <w:r>
              <w:rPr>
                <w:rFonts w:ascii="Arial Narrow" w:hAnsi="Arial Narrow"/>
                <w:b/>
                <w:bCs/>
                <w:sz w:val="17"/>
                <w:szCs w:val="17"/>
              </w:rPr>
              <w:t>351</w:t>
            </w:r>
          </w:p>
        </w:tc>
      </w:tr>
    </w:tbl>
    <w:p w14:paraId="10E58D4A" w14:textId="77777777" w:rsidR="009C449B" w:rsidRPr="00A4252C" w:rsidRDefault="009C449B" w:rsidP="009C449B">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(a) A seguito degli arrotondamenti alle migliaia, i totali potrebbero non coincidere con la somma dei singoli addendi</w:t>
      </w:r>
    </w:p>
    <w:p w14:paraId="516A1C02" w14:textId="77777777" w:rsidR="009C449B" w:rsidRPr="00A4252C" w:rsidRDefault="009C449B" w:rsidP="009C449B">
      <w:pPr>
        <w:pStyle w:val="titoletto"/>
        <w:spacing w:before="60"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 xml:space="preserve">(b) Attivazioni rilevate negli ultimi quattro trimestri </w:t>
      </w:r>
    </w:p>
    <w:p w14:paraId="6EC1678B" w14:textId="77777777" w:rsidR="009C449B" w:rsidRPr="00A4252C" w:rsidRDefault="009C449B" w:rsidP="009C449B">
      <w:pPr>
        <w:pStyle w:val="titoletto"/>
        <w:spacing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 xml:space="preserve">(c) Cessazioni rilevate negli ultimi quattro trimestri </w:t>
      </w:r>
    </w:p>
    <w:p w14:paraId="0CAE3224" w14:textId="77777777" w:rsidR="009C449B" w:rsidRPr="00A4252C" w:rsidRDefault="009C449B" w:rsidP="009C449B">
      <w:pPr>
        <w:pStyle w:val="titoletto"/>
        <w:spacing w:after="40"/>
        <w:rPr>
          <w:rFonts w:ascii="Arial Narrow" w:hAnsi="Arial Narrow" w:cs="Times New Roman"/>
          <w:b w:val="0"/>
          <w:bCs w:val="0"/>
          <w:iCs/>
          <w:color w:val="000000"/>
          <w:sz w:val="15"/>
          <w:szCs w:val="15"/>
          <w:lang w:eastAsia="it-IT"/>
        </w:rPr>
      </w:pPr>
      <w:r w:rsidRPr="00A4252C">
        <w:rPr>
          <w:rFonts w:ascii="Arial Narrow" w:hAnsi="Arial Narrow" w:cs="Times New Roman"/>
          <w:b w:val="0"/>
          <w:bCs w:val="0"/>
          <w:iCs/>
          <w:color w:val="000000"/>
          <w:sz w:val="15"/>
          <w:szCs w:val="15"/>
          <w:lang w:eastAsia="it-IT"/>
        </w:rPr>
        <w:t>(d) Differenza tra le attivazioni e le cessazioni. Tale differenza equivale alla variazione tendenziale dello stock medio trimestrale delle posizioni lavorative dipendenti</w:t>
      </w:r>
    </w:p>
    <w:p w14:paraId="11C63F43" w14:textId="77777777" w:rsidR="009C449B" w:rsidRPr="00A4252C" w:rsidRDefault="009C449B" w:rsidP="009C449B">
      <w:pPr>
        <w:pStyle w:val="titoletto"/>
        <w:spacing w:after="40"/>
        <w:rPr>
          <w:rFonts w:ascii="Arial Narrow" w:hAnsi="Arial Narrow" w:cs="Times New Roman"/>
          <w:b w:val="0"/>
          <w:bCs w:val="0"/>
          <w:i/>
          <w:iCs/>
          <w:color w:val="000000"/>
          <w:sz w:val="15"/>
          <w:szCs w:val="15"/>
          <w:lang w:eastAsia="it-IT"/>
        </w:rPr>
      </w:pPr>
      <w:r w:rsidRPr="00A4252C">
        <w:rPr>
          <w:rFonts w:ascii="Arial Narrow" w:hAnsi="Arial Narrow" w:cs="Times New Roman"/>
          <w:b w:val="0"/>
          <w:bCs w:val="0"/>
          <w:i/>
          <w:iCs/>
          <w:color w:val="000000"/>
          <w:sz w:val="15"/>
          <w:szCs w:val="15"/>
          <w:lang w:eastAsia="it-IT"/>
        </w:rPr>
        <w:t xml:space="preserve">Fonte: Inps, Uniemens </w:t>
      </w:r>
    </w:p>
    <w:p w14:paraId="48DC06AF" w14:textId="77777777" w:rsidR="004176C3" w:rsidRPr="00A4252C" w:rsidRDefault="004176C3" w:rsidP="004E234D">
      <w:pPr>
        <w:rPr>
          <w:rFonts w:cs="Arial"/>
          <w:sz w:val="10"/>
          <w:szCs w:val="20"/>
        </w:rPr>
      </w:pPr>
    </w:p>
    <w:p w14:paraId="3BF95366" w14:textId="77777777" w:rsidR="004176C3" w:rsidRPr="00A51547" w:rsidRDefault="004176C3" w:rsidP="004E234D">
      <w:pPr>
        <w:pStyle w:val="titoletto"/>
      </w:pPr>
      <w:r w:rsidRPr="00A51547">
        <w:t>Lavoro a chiamata, somministrato e occasionale</w:t>
      </w:r>
    </w:p>
    <w:p w14:paraId="67013224" w14:textId="1D53FCEA" w:rsidR="004176C3" w:rsidRPr="00A51547" w:rsidRDefault="004176C3" w:rsidP="00FA21E8">
      <w:pPr>
        <w:pStyle w:val="titoletto"/>
        <w:rPr>
          <w:b w:val="0"/>
          <w:bCs w:val="0"/>
          <w:color w:val="auto"/>
          <w:sz w:val="20"/>
          <w:szCs w:val="20"/>
        </w:rPr>
      </w:pPr>
      <w:r w:rsidRPr="00A51547">
        <w:rPr>
          <w:b w:val="0"/>
          <w:bCs w:val="0"/>
          <w:color w:val="auto"/>
          <w:sz w:val="20"/>
          <w:szCs w:val="20"/>
        </w:rPr>
        <w:t xml:space="preserve">Il lavoro a chiamata (intermittente) e quello in somministrazione sono tipologie contrattuali caratterizzate da una </w:t>
      </w:r>
      <w:r w:rsidR="00FA7DC7" w:rsidRPr="00A51547">
        <w:rPr>
          <w:b w:val="0"/>
          <w:bCs w:val="0"/>
          <w:color w:val="auto"/>
          <w:sz w:val="20"/>
          <w:szCs w:val="20"/>
        </w:rPr>
        <w:t xml:space="preserve">componente di </w:t>
      </w:r>
      <w:r w:rsidRPr="00A51547">
        <w:rPr>
          <w:b w:val="0"/>
          <w:bCs w:val="0"/>
          <w:color w:val="auto"/>
          <w:sz w:val="20"/>
          <w:szCs w:val="20"/>
        </w:rPr>
        <w:t xml:space="preserve">stagionalità e da un’intensità lavorativa minore rispetto al lavoro standard. </w:t>
      </w:r>
    </w:p>
    <w:p w14:paraId="01A66695" w14:textId="67C46DB1" w:rsidR="0050055D" w:rsidRPr="00A51547" w:rsidRDefault="00B53B6B" w:rsidP="00B53B6B">
      <w:pPr>
        <w:pStyle w:val="titoletto"/>
        <w:rPr>
          <w:b w:val="0"/>
          <w:bCs w:val="0"/>
          <w:color w:val="auto"/>
          <w:sz w:val="20"/>
          <w:szCs w:val="20"/>
        </w:rPr>
      </w:pPr>
      <w:r w:rsidRPr="00A51547">
        <w:rPr>
          <w:b w:val="0"/>
          <w:bCs w:val="0"/>
          <w:color w:val="auto"/>
          <w:sz w:val="20"/>
          <w:szCs w:val="20"/>
        </w:rPr>
        <w:t xml:space="preserve">Dopo </w:t>
      </w:r>
      <w:r w:rsidR="005A5BEF" w:rsidRPr="00A51547">
        <w:rPr>
          <w:b w:val="0"/>
          <w:bCs w:val="0"/>
          <w:color w:val="auto"/>
          <w:sz w:val="20"/>
          <w:szCs w:val="20"/>
        </w:rPr>
        <w:t xml:space="preserve">23 </w:t>
      </w:r>
      <w:r w:rsidR="005A5BEF" w:rsidRPr="004C4BA0">
        <w:rPr>
          <w:b w:val="0"/>
          <w:bCs w:val="0"/>
          <w:color w:val="auto"/>
          <w:sz w:val="20"/>
          <w:szCs w:val="20"/>
        </w:rPr>
        <w:t>trimestri di crescita</w:t>
      </w:r>
      <w:r w:rsidR="00057D00">
        <w:rPr>
          <w:b w:val="0"/>
          <w:bCs w:val="0"/>
          <w:color w:val="auto"/>
          <w:sz w:val="20"/>
          <w:szCs w:val="20"/>
        </w:rPr>
        <w:t>,</w:t>
      </w:r>
      <w:r w:rsidR="005A5BEF" w:rsidRPr="004C4BA0">
        <w:rPr>
          <w:b w:val="0"/>
          <w:bCs w:val="0"/>
          <w:color w:val="auto"/>
          <w:sz w:val="20"/>
          <w:szCs w:val="20"/>
        </w:rPr>
        <w:t xml:space="preserve"> e </w:t>
      </w:r>
      <w:r w:rsidRPr="004C4BA0">
        <w:rPr>
          <w:b w:val="0"/>
          <w:bCs w:val="0"/>
          <w:color w:val="auto"/>
          <w:sz w:val="20"/>
          <w:szCs w:val="20"/>
        </w:rPr>
        <w:t xml:space="preserve">aver raggiunto nel </w:t>
      </w:r>
      <w:r w:rsidR="007E6A12" w:rsidRPr="004C4BA0">
        <w:rPr>
          <w:b w:val="0"/>
          <w:bCs w:val="0"/>
          <w:color w:val="auto"/>
          <w:sz w:val="20"/>
          <w:szCs w:val="20"/>
        </w:rPr>
        <w:t>terzo trimestre 2018</w:t>
      </w:r>
      <w:r w:rsidRPr="004C4BA0">
        <w:rPr>
          <w:b w:val="0"/>
          <w:bCs w:val="0"/>
          <w:color w:val="auto"/>
          <w:sz w:val="20"/>
          <w:szCs w:val="20"/>
        </w:rPr>
        <w:t xml:space="preserve"> la massima espansione (</w:t>
      </w:r>
      <w:r w:rsidR="007E6A12" w:rsidRPr="004C4BA0">
        <w:rPr>
          <w:b w:val="0"/>
          <w:bCs w:val="0"/>
          <w:color w:val="auto"/>
          <w:sz w:val="20"/>
          <w:szCs w:val="20"/>
        </w:rPr>
        <w:t>418</w:t>
      </w:r>
      <w:r w:rsidRPr="004C4BA0">
        <w:rPr>
          <w:b w:val="0"/>
          <w:bCs w:val="0"/>
          <w:color w:val="auto"/>
          <w:sz w:val="20"/>
          <w:szCs w:val="20"/>
        </w:rPr>
        <w:t xml:space="preserve"> mila unità)</w:t>
      </w:r>
      <w:r w:rsidR="00F011E2" w:rsidRPr="004C4BA0">
        <w:rPr>
          <w:b w:val="0"/>
          <w:bCs w:val="0"/>
          <w:color w:val="auto"/>
          <w:sz w:val="20"/>
          <w:szCs w:val="20"/>
        </w:rPr>
        <w:t xml:space="preserve"> pur</w:t>
      </w:r>
      <w:r w:rsidR="005A5BEF" w:rsidRPr="004C4BA0">
        <w:rPr>
          <w:b w:val="0"/>
          <w:bCs w:val="0"/>
          <w:color w:val="auto"/>
          <w:sz w:val="20"/>
          <w:szCs w:val="20"/>
        </w:rPr>
        <w:t xml:space="preserve"> </w:t>
      </w:r>
      <w:r w:rsidR="00F011E2" w:rsidRPr="004C4BA0">
        <w:rPr>
          <w:b w:val="0"/>
          <w:bCs w:val="0"/>
          <w:color w:val="auto"/>
          <w:sz w:val="20"/>
          <w:szCs w:val="20"/>
        </w:rPr>
        <w:t>in presenza di</w:t>
      </w:r>
      <w:r w:rsidR="005A5BEF" w:rsidRPr="004C4BA0">
        <w:rPr>
          <w:b w:val="0"/>
          <w:bCs w:val="0"/>
          <w:color w:val="auto"/>
          <w:sz w:val="20"/>
          <w:szCs w:val="20"/>
        </w:rPr>
        <w:t xml:space="preserve"> un rallentamento progressivo </w:t>
      </w:r>
      <w:r w:rsidR="005D0E6F" w:rsidRPr="004C4BA0">
        <w:rPr>
          <w:b w:val="0"/>
          <w:bCs w:val="0"/>
          <w:color w:val="auto"/>
          <w:sz w:val="20"/>
          <w:szCs w:val="20"/>
        </w:rPr>
        <w:t>negli ultimi tre trimestri del 2018 (+13,9%, +7,3% e +0,8% nel secondo, terzo e quarto trimestre 2018)</w:t>
      </w:r>
      <w:r w:rsidR="00F011E2" w:rsidRPr="004C4BA0">
        <w:rPr>
          <w:b w:val="0"/>
          <w:bCs w:val="0"/>
          <w:color w:val="auto"/>
          <w:sz w:val="20"/>
          <w:szCs w:val="20"/>
        </w:rPr>
        <w:t>,</w:t>
      </w:r>
      <w:r w:rsidR="005A5BEF" w:rsidRPr="004C4BA0">
        <w:rPr>
          <w:b w:val="0"/>
          <w:bCs w:val="0"/>
          <w:color w:val="auto"/>
          <w:sz w:val="20"/>
          <w:szCs w:val="20"/>
        </w:rPr>
        <w:t xml:space="preserve"> il numero dei lavoratori in somministrazione</w:t>
      </w:r>
      <w:r w:rsidR="005D0E6F" w:rsidRPr="004C4BA0">
        <w:rPr>
          <w:b w:val="0"/>
          <w:bCs w:val="0"/>
          <w:color w:val="auto"/>
          <w:sz w:val="20"/>
          <w:szCs w:val="20"/>
        </w:rPr>
        <w:t xml:space="preserve"> </w:t>
      </w:r>
      <w:r w:rsidR="005A5BEF" w:rsidRPr="004C4BA0">
        <w:rPr>
          <w:b w:val="0"/>
          <w:bCs w:val="0"/>
          <w:color w:val="auto"/>
          <w:sz w:val="20"/>
          <w:szCs w:val="20"/>
        </w:rPr>
        <w:t>ne</w:t>
      </w:r>
      <w:r w:rsidR="00EA619C" w:rsidRPr="004C4BA0">
        <w:rPr>
          <w:b w:val="0"/>
          <w:bCs w:val="0"/>
          <w:color w:val="auto"/>
          <w:sz w:val="20"/>
          <w:szCs w:val="20"/>
        </w:rPr>
        <w:t xml:space="preserve">l </w:t>
      </w:r>
      <w:r w:rsidRPr="004C4BA0">
        <w:rPr>
          <w:b w:val="0"/>
          <w:bCs w:val="0"/>
          <w:color w:val="auto"/>
          <w:sz w:val="20"/>
          <w:szCs w:val="20"/>
        </w:rPr>
        <w:t xml:space="preserve">primo trimestre 2019 </w:t>
      </w:r>
      <w:r w:rsidR="005A5BEF" w:rsidRPr="004C4BA0">
        <w:rPr>
          <w:b w:val="0"/>
          <w:bCs w:val="0"/>
          <w:color w:val="auto"/>
          <w:sz w:val="20"/>
          <w:szCs w:val="20"/>
        </w:rPr>
        <w:t xml:space="preserve">subisce </w:t>
      </w:r>
      <w:r w:rsidR="00EA619C" w:rsidRPr="004C4BA0">
        <w:rPr>
          <w:b w:val="0"/>
          <w:bCs w:val="0"/>
          <w:color w:val="auto"/>
          <w:sz w:val="20"/>
          <w:szCs w:val="20"/>
        </w:rPr>
        <w:t xml:space="preserve">una </w:t>
      </w:r>
      <w:r w:rsidR="00A37C91" w:rsidRPr="004C4BA0">
        <w:rPr>
          <w:b w:val="0"/>
          <w:bCs w:val="0"/>
          <w:color w:val="auto"/>
          <w:sz w:val="20"/>
          <w:szCs w:val="20"/>
        </w:rPr>
        <w:t xml:space="preserve">significativa </w:t>
      </w:r>
      <w:r w:rsidR="00576B79" w:rsidRPr="004C4BA0">
        <w:rPr>
          <w:b w:val="0"/>
          <w:bCs w:val="0"/>
          <w:color w:val="auto"/>
          <w:sz w:val="20"/>
          <w:szCs w:val="20"/>
        </w:rPr>
        <w:t xml:space="preserve">riduzione </w:t>
      </w:r>
      <w:r w:rsidR="007F1F10" w:rsidRPr="004C4BA0">
        <w:rPr>
          <w:b w:val="0"/>
          <w:bCs w:val="0"/>
          <w:color w:val="auto"/>
          <w:sz w:val="20"/>
          <w:szCs w:val="20"/>
        </w:rPr>
        <w:t xml:space="preserve">tendenziale </w:t>
      </w:r>
      <w:r w:rsidR="0011361C" w:rsidRPr="004C4BA0">
        <w:rPr>
          <w:b w:val="0"/>
          <w:bCs w:val="0"/>
          <w:color w:val="auto"/>
          <w:sz w:val="20"/>
          <w:szCs w:val="20"/>
        </w:rPr>
        <w:t>(</w:t>
      </w:r>
      <w:r w:rsidRPr="004C4BA0">
        <w:rPr>
          <w:b w:val="0"/>
          <w:bCs w:val="0"/>
          <w:color w:val="auto"/>
          <w:sz w:val="20"/>
          <w:szCs w:val="20"/>
        </w:rPr>
        <w:t>-20 mila unità corrispondenti</w:t>
      </w:r>
      <w:r w:rsidRPr="00A51547">
        <w:rPr>
          <w:b w:val="0"/>
          <w:bCs w:val="0"/>
          <w:color w:val="auto"/>
          <w:sz w:val="20"/>
          <w:szCs w:val="20"/>
        </w:rPr>
        <w:t xml:space="preserve"> a </w:t>
      </w:r>
      <w:r w:rsidR="00576B79" w:rsidRPr="00A51547">
        <w:rPr>
          <w:b w:val="0"/>
          <w:bCs w:val="0"/>
          <w:color w:val="auto"/>
          <w:sz w:val="20"/>
          <w:szCs w:val="20"/>
        </w:rPr>
        <w:t>-5,1%</w:t>
      </w:r>
      <w:r w:rsidR="0011361C" w:rsidRPr="00A51547">
        <w:rPr>
          <w:b w:val="0"/>
          <w:bCs w:val="0"/>
          <w:color w:val="auto"/>
          <w:sz w:val="20"/>
          <w:szCs w:val="20"/>
        </w:rPr>
        <w:t>)</w:t>
      </w:r>
      <w:r w:rsidR="00576B79" w:rsidRPr="00A51547">
        <w:rPr>
          <w:b w:val="0"/>
          <w:bCs w:val="0"/>
          <w:color w:val="auto"/>
          <w:sz w:val="20"/>
          <w:szCs w:val="20"/>
        </w:rPr>
        <w:t>.</w:t>
      </w:r>
      <w:r w:rsidR="00EA619C" w:rsidRPr="00A51547">
        <w:rPr>
          <w:b w:val="0"/>
          <w:bCs w:val="0"/>
          <w:color w:val="auto"/>
          <w:sz w:val="20"/>
          <w:szCs w:val="20"/>
        </w:rPr>
        <w:t xml:space="preserve"> </w:t>
      </w:r>
      <w:r w:rsidR="00937353" w:rsidRPr="00A51547">
        <w:rPr>
          <w:b w:val="0"/>
          <w:bCs w:val="0"/>
          <w:color w:val="auto"/>
          <w:sz w:val="20"/>
          <w:szCs w:val="20"/>
        </w:rPr>
        <w:t xml:space="preserve">La fase di stagnazione dell’attività economica dalla seconda metà del 2018 </w:t>
      </w:r>
      <w:r w:rsidR="00A37C91" w:rsidRPr="00A51547">
        <w:rPr>
          <w:b w:val="0"/>
          <w:bCs w:val="0"/>
          <w:color w:val="auto"/>
          <w:sz w:val="20"/>
          <w:szCs w:val="20"/>
        </w:rPr>
        <w:t>ma soprattutto gli effetti della legge 96/2018</w:t>
      </w:r>
      <w:r w:rsidR="00937353" w:rsidRPr="00A51547">
        <w:rPr>
          <w:rStyle w:val="Rimandonotaapidipagina"/>
          <w:b w:val="0"/>
          <w:bCs w:val="0"/>
          <w:color w:val="auto"/>
          <w:sz w:val="20"/>
          <w:szCs w:val="20"/>
        </w:rPr>
        <w:footnoteReference w:id="6"/>
      </w:r>
      <w:r w:rsidR="00EA619C" w:rsidRPr="00A51547">
        <w:rPr>
          <w:b w:val="0"/>
          <w:bCs w:val="0"/>
          <w:color w:val="auto"/>
          <w:sz w:val="20"/>
          <w:szCs w:val="20"/>
        </w:rPr>
        <w:t xml:space="preserve"> potrebbero aver spinto le imprese a ridurre </w:t>
      </w:r>
      <w:r w:rsidR="007E1235" w:rsidRPr="00A51547">
        <w:rPr>
          <w:b w:val="0"/>
          <w:bCs w:val="0"/>
          <w:color w:val="auto"/>
          <w:sz w:val="20"/>
          <w:szCs w:val="20"/>
        </w:rPr>
        <w:t>le proroghe</w:t>
      </w:r>
      <w:r w:rsidR="000E470B" w:rsidRPr="00A51547">
        <w:rPr>
          <w:b w:val="0"/>
          <w:bCs w:val="0"/>
          <w:color w:val="auto"/>
          <w:sz w:val="20"/>
          <w:szCs w:val="20"/>
        </w:rPr>
        <w:t xml:space="preserve"> e</w:t>
      </w:r>
      <w:r w:rsidR="007E1235" w:rsidRPr="00A51547">
        <w:rPr>
          <w:b w:val="0"/>
          <w:bCs w:val="0"/>
          <w:color w:val="auto"/>
          <w:sz w:val="20"/>
          <w:szCs w:val="20"/>
        </w:rPr>
        <w:t xml:space="preserve"> </w:t>
      </w:r>
      <w:r w:rsidR="00EA619C" w:rsidRPr="00A51547">
        <w:rPr>
          <w:b w:val="0"/>
          <w:bCs w:val="0"/>
          <w:color w:val="auto"/>
          <w:sz w:val="20"/>
          <w:szCs w:val="20"/>
        </w:rPr>
        <w:t xml:space="preserve">le </w:t>
      </w:r>
      <w:r w:rsidR="005A5BEF" w:rsidRPr="00A51547">
        <w:rPr>
          <w:b w:val="0"/>
          <w:bCs w:val="0"/>
          <w:color w:val="auto"/>
          <w:sz w:val="20"/>
          <w:szCs w:val="20"/>
        </w:rPr>
        <w:t>nuove assunzioni</w:t>
      </w:r>
      <w:r w:rsidR="000E470B" w:rsidRPr="00A51547">
        <w:rPr>
          <w:b w:val="0"/>
          <w:bCs w:val="0"/>
          <w:color w:val="auto"/>
          <w:sz w:val="20"/>
          <w:szCs w:val="20"/>
        </w:rPr>
        <w:t xml:space="preserve"> oltre che ad aumentare le trasformazion</w:t>
      </w:r>
      <w:r w:rsidR="00E3183D">
        <w:rPr>
          <w:b w:val="0"/>
          <w:bCs w:val="0"/>
          <w:color w:val="auto"/>
          <w:sz w:val="20"/>
          <w:szCs w:val="20"/>
        </w:rPr>
        <w:t>i</w:t>
      </w:r>
      <w:r w:rsidR="000E470B" w:rsidRPr="00A51547">
        <w:rPr>
          <w:b w:val="0"/>
          <w:bCs w:val="0"/>
          <w:color w:val="auto"/>
          <w:sz w:val="20"/>
          <w:szCs w:val="20"/>
        </w:rPr>
        <w:t xml:space="preserve"> di rapporti somministrati a termine in rapporti a tempo indeterminato</w:t>
      </w:r>
      <w:r w:rsidR="009C61A5" w:rsidRPr="00A51547">
        <w:rPr>
          <w:rStyle w:val="Rimandonotaapidipagina"/>
          <w:b w:val="0"/>
          <w:bCs w:val="0"/>
          <w:color w:val="auto"/>
          <w:sz w:val="20"/>
          <w:szCs w:val="20"/>
        </w:rPr>
        <w:footnoteReference w:id="7"/>
      </w:r>
      <w:r w:rsidRPr="00A51547">
        <w:rPr>
          <w:b w:val="0"/>
          <w:bCs w:val="0"/>
          <w:color w:val="auto"/>
          <w:sz w:val="20"/>
          <w:szCs w:val="20"/>
        </w:rPr>
        <w:t>.</w:t>
      </w:r>
      <w:r w:rsidR="00EA619C" w:rsidRPr="00A51547">
        <w:rPr>
          <w:b w:val="0"/>
          <w:bCs w:val="0"/>
          <w:color w:val="auto"/>
          <w:sz w:val="20"/>
          <w:szCs w:val="20"/>
        </w:rPr>
        <w:t xml:space="preserve"> </w:t>
      </w:r>
      <w:r w:rsidR="0050055D" w:rsidRPr="00A51547">
        <w:rPr>
          <w:b w:val="0"/>
          <w:bCs w:val="0"/>
          <w:color w:val="auto"/>
          <w:sz w:val="20"/>
          <w:szCs w:val="20"/>
        </w:rPr>
        <w:t xml:space="preserve">Ciò è coerente </w:t>
      </w:r>
      <w:r w:rsidR="001410ED">
        <w:rPr>
          <w:b w:val="0"/>
          <w:bCs w:val="0"/>
          <w:color w:val="auto"/>
          <w:sz w:val="20"/>
          <w:szCs w:val="20"/>
        </w:rPr>
        <w:t xml:space="preserve">anche </w:t>
      </w:r>
      <w:r w:rsidR="0050055D" w:rsidRPr="00A51547">
        <w:rPr>
          <w:b w:val="0"/>
          <w:bCs w:val="0"/>
          <w:color w:val="auto"/>
          <w:sz w:val="20"/>
          <w:szCs w:val="20"/>
        </w:rPr>
        <w:t>con l’</w:t>
      </w:r>
      <w:r w:rsidR="00EA619C" w:rsidRPr="00A51547">
        <w:rPr>
          <w:b w:val="0"/>
          <w:bCs w:val="0"/>
          <w:color w:val="auto"/>
          <w:sz w:val="20"/>
          <w:szCs w:val="20"/>
        </w:rPr>
        <w:t>allungamento della durata media del numero delle giornate retribuite</w:t>
      </w:r>
      <w:r w:rsidR="00654324" w:rsidRPr="00A51547">
        <w:rPr>
          <w:rStyle w:val="Rimandonotaapidipagina"/>
          <w:rFonts w:cs="Arial"/>
          <w:b w:val="0"/>
          <w:bCs w:val="0"/>
          <w:color w:val="auto"/>
          <w:sz w:val="20"/>
          <w:szCs w:val="20"/>
        </w:rPr>
        <w:footnoteReference w:id="8"/>
      </w:r>
      <w:r w:rsidR="0050055D" w:rsidRPr="00A51547">
        <w:rPr>
          <w:b w:val="0"/>
          <w:bCs w:val="0"/>
          <w:color w:val="auto"/>
          <w:sz w:val="20"/>
          <w:szCs w:val="20"/>
        </w:rPr>
        <w:t xml:space="preserve"> </w:t>
      </w:r>
      <w:r w:rsidR="001410ED">
        <w:rPr>
          <w:b w:val="0"/>
          <w:bCs w:val="0"/>
          <w:color w:val="auto"/>
          <w:sz w:val="20"/>
          <w:szCs w:val="20"/>
        </w:rPr>
        <w:t xml:space="preserve">(da 20,8 del primo 2018 al 21,7) </w:t>
      </w:r>
      <w:r w:rsidR="0050055D" w:rsidRPr="00A51547">
        <w:rPr>
          <w:b w:val="0"/>
          <w:bCs w:val="0"/>
          <w:color w:val="auto"/>
          <w:sz w:val="20"/>
          <w:szCs w:val="20"/>
        </w:rPr>
        <w:t xml:space="preserve">che raggiunge </w:t>
      </w:r>
      <w:r w:rsidR="001410ED">
        <w:rPr>
          <w:b w:val="0"/>
          <w:bCs w:val="0"/>
          <w:color w:val="auto"/>
          <w:sz w:val="20"/>
          <w:szCs w:val="20"/>
        </w:rPr>
        <w:t>il</w:t>
      </w:r>
      <w:r w:rsidR="0050055D" w:rsidRPr="00A51547">
        <w:rPr>
          <w:b w:val="0"/>
          <w:bCs w:val="0"/>
          <w:color w:val="auto"/>
          <w:sz w:val="20"/>
          <w:szCs w:val="20"/>
        </w:rPr>
        <w:t xml:space="preserve"> massimo della serie storica disponibile dal 2012</w:t>
      </w:r>
      <w:r w:rsidR="00EA619C" w:rsidRPr="00A51547">
        <w:rPr>
          <w:b w:val="0"/>
          <w:bCs w:val="0"/>
          <w:color w:val="auto"/>
          <w:sz w:val="20"/>
          <w:szCs w:val="20"/>
        </w:rPr>
        <w:t>.</w:t>
      </w:r>
      <w:r w:rsidR="0050055D" w:rsidRPr="00A51547">
        <w:rPr>
          <w:b w:val="0"/>
          <w:bCs w:val="0"/>
          <w:color w:val="auto"/>
          <w:sz w:val="20"/>
          <w:szCs w:val="20"/>
        </w:rPr>
        <w:t xml:space="preserve"> </w:t>
      </w:r>
    </w:p>
    <w:p w14:paraId="33ED70DC" w14:textId="37F19FE1" w:rsidR="004176C3" w:rsidRPr="00A51547" w:rsidRDefault="0050055D" w:rsidP="00B53B6B">
      <w:pPr>
        <w:pStyle w:val="titoletto"/>
        <w:rPr>
          <w:b w:val="0"/>
          <w:bCs w:val="0"/>
          <w:color w:val="auto"/>
          <w:sz w:val="20"/>
          <w:szCs w:val="20"/>
        </w:rPr>
      </w:pPr>
      <w:r w:rsidRPr="00A51547">
        <w:rPr>
          <w:b w:val="0"/>
          <w:bCs w:val="0"/>
          <w:color w:val="auto"/>
          <w:sz w:val="20"/>
          <w:szCs w:val="20"/>
        </w:rPr>
        <w:lastRenderedPageBreak/>
        <w:t xml:space="preserve">Nel primo trimestre 2019 </w:t>
      </w:r>
      <w:r w:rsidRPr="004C4BA0">
        <w:rPr>
          <w:b w:val="0"/>
          <w:bCs w:val="0"/>
          <w:color w:val="auto"/>
          <w:sz w:val="20"/>
          <w:szCs w:val="20"/>
        </w:rPr>
        <w:t>prosegue l’aumento tendenziale del numero dei lavoratori a chiamata (+15 mila unità) ma rallenta leggermente il tasso di crescita (+7,3% rispetto al +8,3%, al +8,8% e il +15,9% nel quarto, terzo</w:t>
      </w:r>
      <w:r w:rsidR="007E6A12" w:rsidRPr="004C4BA0">
        <w:rPr>
          <w:b w:val="0"/>
          <w:bCs w:val="0"/>
          <w:color w:val="auto"/>
          <w:sz w:val="20"/>
          <w:szCs w:val="20"/>
        </w:rPr>
        <w:t xml:space="preserve"> e</w:t>
      </w:r>
      <w:r w:rsidRPr="004C4BA0">
        <w:rPr>
          <w:b w:val="0"/>
          <w:bCs w:val="0"/>
          <w:color w:val="auto"/>
          <w:sz w:val="20"/>
          <w:szCs w:val="20"/>
        </w:rPr>
        <w:t xml:space="preserve"> secondo 2018;</w:t>
      </w:r>
      <w:r w:rsidRPr="00A51547">
        <w:rPr>
          <w:b w:val="0"/>
          <w:bCs w:val="0"/>
          <w:color w:val="auto"/>
          <w:sz w:val="20"/>
          <w:szCs w:val="20"/>
        </w:rPr>
        <w:t xml:space="preserve"> Figura 6). Dopo l’impetuosa crescita iniziata dal secondo trimestre 2017 (+76,1%), soprattutto a seguito dell’abrogazione del lavoro accessorio, negli ultimi quattro trimestri questa tipologia contrattuale è tornata a un andamento più regolare.</w:t>
      </w:r>
      <w:r w:rsidR="00654324" w:rsidRPr="00A51547">
        <w:rPr>
          <w:b w:val="0"/>
          <w:bCs w:val="0"/>
          <w:color w:val="auto"/>
          <w:sz w:val="20"/>
          <w:szCs w:val="20"/>
        </w:rPr>
        <w:t xml:space="preserve"> Secondo i dati Inps, </w:t>
      </w:r>
      <w:r w:rsidR="00253D87">
        <w:rPr>
          <w:b w:val="0"/>
          <w:bCs w:val="0"/>
          <w:color w:val="auto"/>
          <w:sz w:val="20"/>
          <w:szCs w:val="20"/>
        </w:rPr>
        <w:t xml:space="preserve">nel primo trimestre 2019 </w:t>
      </w:r>
      <w:r w:rsidR="00654324" w:rsidRPr="00A51547">
        <w:rPr>
          <w:b w:val="0"/>
          <w:bCs w:val="0"/>
          <w:color w:val="auto"/>
          <w:sz w:val="20"/>
          <w:szCs w:val="20"/>
        </w:rPr>
        <w:t xml:space="preserve">i lavoratori a chiamata hanno svolto </w:t>
      </w:r>
      <w:r w:rsidR="00253D87">
        <w:rPr>
          <w:b w:val="0"/>
          <w:bCs w:val="0"/>
          <w:color w:val="auto"/>
          <w:sz w:val="20"/>
          <w:szCs w:val="20"/>
        </w:rPr>
        <w:t xml:space="preserve">in media </w:t>
      </w:r>
      <w:r w:rsidR="00654324" w:rsidRPr="00A51547">
        <w:rPr>
          <w:b w:val="0"/>
          <w:bCs w:val="0"/>
          <w:color w:val="auto"/>
          <w:sz w:val="20"/>
          <w:szCs w:val="20"/>
        </w:rPr>
        <w:t>9,6 giornate retribuite</w:t>
      </w:r>
      <w:r w:rsidR="00057D00">
        <w:rPr>
          <w:b w:val="0"/>
          <w:bCs w:val="0"/>
          <w:color w:val="auto"/>
          <w:sz w:val="20"/>
          <w:szCs w:val="20"/>
        </w:rPr>
        <w:t xml:space="preserve"> al mese</w:t>
      </w:r>
      <w:r w:rsidR="00654324" w:rsidRPr="00A51547">
        <w:rPr>
          <w:b w:val="0"/>
          <w:bCs w:val="0"/>
          <w:color w:val="auto"/>
          <w:sz w:val="20"/>
          <w:szCs w:val="20"/>
        </w:rPr>
        <w:t>.</w:t>
      </w:r>
    </w:p>
    <w:tbl>
      <w:tblPr>
        <w:tblStyle w:val="Grigliatabel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19"/>
      </w:tblGrid>
      <w:tr w:rsidR="00CE3490" w:rsidRPr="00A4252C" w14:paraId="308583B0" w14:textId="77777777" w:rsidTr="00CD7EFD">
        <w:tc>
          <w:tcPr>
            <w:tcW w:w="4820" w:type="dxa"/>
          </w:tcPr>
          <w:p w14:paraId="046933D1" w14:textId="51DE860A" w:rsidR="00CE3490" w:rsidRPr="00A51547" w:rsidRDefault="00CE3490" w:rsidP="0005729C">
            <w:pPr>
              <w:pStyle w:val="Paragrafoelenco1"/>
              <w:tabs>
                <w:tab w:val="left" w:pos="1701"/>
              </w:tabs>
              <w:suppressAutoHyphens/>
              <w:ind w:left="34"/>
              <w:contextualSpacing w:val="0"/>
              <w:jc w:val="left"/>
              <w:rPr>
                <w:b/>
                <w:bCs/>
                <w:szCs w:val="20"/>
              </w:rPr>
            </w:pPr>
            <w:r w:rsidRPr="00A51547">
              <w:rPr>
                <w:rFonts w:ascii="Arial Narrow" w:hAnsi="Arial Narrow" w:cs="Arial"/>
                <w:b/>
                <w:caps/>
                <w:color w:val="17365D"/>
                <w:kern w:val="28"/>
              </w:rPr>
              <w:t>Figura 5. LAVORATORI somministrati E a chiamata</w:t>
            </w:r>
            <w:r w:rsidRPr="00A51547">
              <w:rPr>
                <w:rFonts w:ascii="Arial Narrow" w:hAnsi="Arial Narrow" w:cs="Arial"/>
                <w:bCs/>
                <w:iCs/>
                <w:caps/>
                <w:color w:val="808080"/>
                <w:spacing w:val="-4"/>
                <w:szCs w:val="20"/>
                <w:lang w:eastAsia="it-IT"/>
              </w:rPr>
              <w:br/>
            </w:r>
            <w:r w:rsidRPr="00A51547">
              <w:rPr>
                <w:rFonts w:ascii="Arial Narrow" w:hAnsi="Arial Narrow" w:cs="Arial"/>
                <w:kern w:val="28"/>
                <w:sz w:val="19"/>
                <w:szCs w:val="19"/>
              </w:rPr>
              <w:t>I trim. 201</w:t>
            </w:r>
            <w:r w:rsidR="00C477D9" w:rsidRPr="00A51547">
              <w:rPr>
                <w:rFonts w:ascii="Arial Narrow" w:hAnsi="Arial Narrow" w:cs="Arial"/>
                <w:kern w:val="28"/>
                <w:sz w:val="19"/>
                <w:szCs w:val="19"/>
              </w:rPr>
              <w:t>4</w:t>
            </w:r>
            <w:r w:rsidRPr="00A51547">
              <w:rPr>
                <w:rFonts w:ascii="Arial Narrow" w:hAnsi="Arial Narrow" w:cs="Arial"/>
                <w:kern w:val="28"/>
                <w:sz w:val="19"/>
                <w:szCs w:val="19"/>
              </w:rPr>
              <w:t xml:space="preserve"> – I trim. 201</w:t>
            </w:r>
            <w:r w:rsidR="0005729C" w:rsidRPr="00A51547">
              <w:rPr>
                <w:rFonts w:ascii="Arial Narrow" w:hAnsi="Arial Narrow" w:cs="Arial"/>
                <w:kern w:val="28"/>
                <w:sz w:val="19"/>
                <w:szCs w:val="19"/>
              </w:rPr>
              <w:t>9</w:t>
            </w:r>
            <w:r w:rsidRPr="00A51547">
              <w:rPr>
                <w:rFonts w:ascii="Arial Narrow" w:hAnsi="Arial Narrow" w:cs="Arial"/>
                <w:kern w:val="28"/>
                <w:sz w:val="19"/>
                <w:szCs w:val="19"/>
              </w:rPr>
              <w:t>, valori assoluti</w:t>
            </w:r>
          </w:p>
        </w:tc>
        <w:tc>
          <w:tcPr>
            <w:tcW w:w="4819" w:type="dxa"/>
          </w:tcPr>
          <w:p w14:paraId="52F58894" w14:textId="56C91CCC" w:rsidR="00CE3490" w:rsidRPr="00A4252C" w:rsidRDefault="00CE3490" w:rsidP="00C477D9">
            <w:pPr>
              <w:pStyle w:val="Paragrafoelenco1"/>
              <w:tabs>
                <w:tab w:val="left" w:pos="1701"/>
              </w:tabs>
              <w:suppressAutoHyphens/>
              <w:spacing w:after="0"/>
              <w:ind w:left="34"/>
              <w:contextualSpacing w:val="0"/>
              <w:jc w:val="left"/>
              <w:rPr>
                <w:b/>
                <w:bCs/>
                <w:szCs w:val="20"/>
              </w:rPr>
            </w:pPr>
            <w:r w:rsidRPr="00A51547">
              <w:rPr>
                <w:rFonts w:ascii="Arial Narrow" w:hAnsi="Arial Narrow" w:cs="Arial"/>
                <w:b/>
                <w:caps/>
                <w:color w:val="17365D"/>
                <w:kern w:val="28"/>
              </w:rPr>
              <w:t>Figura</w:t>
            </w:r>
            <w:r w:rsidRPr="00A51547">
              <w:rPr>
                <w:rFonts w:ascii="Arial Narrow" w:hAnsi="Arial Narrow" w:cs="Arial"/>
                <w:b/>
                <w:color w:val="17365D"/>
                <w:kern w:val="28"/>
              </w:rPr>
              <w:t xml:space="preserve"> 6. </w:t>
            </w:r>
            <w:r w:rsidRPr="00A51547">
              <w:rPr>
                <w:rFonts w:ascii="Arial Narrow" w:hAnsi="Arial Narrow" w:cs="Arial"/>
                <w:b/>
                <w:caps/>
                <w:color w:val="17365D"/>
                <w:kern w:val="28"/>
              </w:rPr>
              <w:t>LAVORATORI somministrati E a chiamata</w:t>
            </w:r>
            <w:r w:rsidRPr="00A51547">
              <w:rPr>
                <w:rFonts w:ascii="Arial Narrow" w:hAnsi="Arial Narrow" w:cs="Arial"/>
                <w:bCs/>
                <w:iCs/>
                <w:caps/>
                <w:color w:val="808080"/>
                <w:spacing w:val="-4"/>
                <w:szCs w:val="20"/>
                <w:lang w:eastAsia="it-IT"/>
              </w:rPr>
              <w:br/>
            </w:r>
            <w:r w:rsidRPr="00A51547">
              <w:rPr>
                <w:rFonts w:ascii="Arial Narrow" w:hAnsi="Arial Narrow" w:cs="Arial"/>
                <w:kern w:val="28"/>
                <w:sz w:val="19"/>
                <w:szCs w:val="19"/>
              </w:rPr>
              <w:t>I trim. 201</w:t>
            </w:r>
            <w:r w:rsidR="00C477D9" w:rsidRPr="00A51547">
              <w:rPr>
                <w:rFonts w:ascii="Arial Narrow" w:hAnsi="Arial Narrow" w:cs="Arial"/>
                <w:kern w:val="28"/>
                <w:sz w:val="19"/>
                <w:szCs w:val="19"/>
              </w:rPr>
              <w:t>4</w:t>
            </w:r>
            <w:r w:rsidRPr="00A51547">
              <w:rPr>
                <w:rFonts w:ascii="Arial Narrow" w:hAnsi="Arial Narrow" w:cs="Arial"/>
                <w:kern w:val="28"/>
                <w:sz w:val="19"/>
                <w:szCs w:val="19"/>
              </w:rPr>
              <w:t xml:space="preserve"> – </w:t>
            </w:r>
            <w:r w:rsidR="0005729C" w:rsidRPr="00A51547">
              <w:rPr>
                <w:rFonts w:ascii="Arial Narrow" w:hAnsi="Arial Narrow" w:cs="Arial"/>
                <w:kern w:val="28"/>
                <w:sz w:val="19"/>
                <w:szCs w:val="19"/>
              </w:rPr>
              <w:t>I trim. 2019</w:t>
            </w:r>
            <w:r w:rsidRPr="00A51547">
              <w:rPr>
                <w:rFonts w:ascii="Arial Narrow" w:hAnsi="Arial Narrow" w:cs="Arial"/>
                <w:kern w:val="28"/>
                <w:sz w:val="19"/>
                <w:szCs w:val="19"/>
              </w:rPr>
              <w:t>, variazioni tendenziali percentuali</w:t>
            </w:r>
            <w:r w:rsidRPr="00A4252C">
              <w:rPr>
                <w:rFonts w:cs="Arial"/>
                <w:b/>
                <w:color w:val="000000"/>
                <w:kern w:val="28"/>
                <w:szCs w:val="20"/>
                <w:lang w:eastAsia="it-IT"/>
              </w:rPr>
              <w:t xml:space="preserve"> </w:t>
            </w:r>
          </w:p>
        </w:tc>
      </w:tr>
      <w:tr w:rsidR="00CE3490" w:rsidRPr="00A4252C" w14:paraId="3C9E77F8" w14:textId="77777777" w:rsidTr="0005729C">
        <w:tblPrEx>
          <w:tblCellMar>
            <w:left w:w="70" w:type="dxa"/>
            <w:right w:w="70" w:type="dxa"/>
          </w:tblCellMar>
        </w:tblPrEx>
        <w:tc>
          <w:tcPr>
            <w:tcW w:w="4820" w:type="dxa"/>
          </w:tcPr>
          <w:p w14:paraId="0D19BC53" w14:textId="01B32B39" w:rsidR="00CE3490" w:rsidRPr="00A4252C" w:rsidRDefault="0005729C" w:rsidP="00707A13">
            <w:pPr>
              <w:pStyle w:val="titoletto"/>
              <w:rPr>
                <w:b w:val="0"/>
                <w:bCs w:val="0"/>
                <w:color w:val="auto"/>
                <w:sz w:val="20"/>
                <w:szCs w:val="20"/>
              </w:rPr>
            </w:pPr>
            <w:r>
              <w:rPr>
                <w:noProof/>
                <w:lang w:eastAsia="it-IT"/>
              </w:rPr>
              <w:drawing>
                <wp:inline distT="0" distB="0" distL="0" distR="0" wp14:anchorId="518DE8A5" wp14:editId="5BAAE5B4">
                  <wp:extent cx="2882597" cy="1787857"/>
                  <wp:effectExtent l="0" t="0" r="13335" b="3175"/>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19" w:type="dxa"/>
          </w:tcPr>
          <w:p w14:paraId="2F5A7746" w14:textId="6F3A9897" w:rsidR="00CE3490" w:rsidRPr="00A4252C" w:rsidRDefault="0005729C" w:rsidP="00707A13">
            <w:pPr>
              <w:pStyle w:val="titoletto"/>
              <w:rPr>
                <w:b w:val="0"/>
                <w:bCs w:val="0"/>
                <w:color w:val="auto"/>
                <w:sz w:val="20"/>
                <w:szCs w:val="20"/>
              </w:rPr>
            </w:pPr>
            <w:r>
              <w:rPr>
                <w:noProof/>
                <w:lang w:eastAsia="it-IT"/>
              </w:rPr>
              <w:drawing>
                <wp:inline distT="0" distB="0" distL="0" distR="0" wp14:anchorId="35FCD4DD" wp14:editId="4558CF4D">
                  <wp:extent cx="2790967" cy="1774209"/>
                  <wp:effectExtent l="0" t="0" r="9525" b="1651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E3490" w:rsidRPr="00A4252C" w14:paraId="1B925914" w14:textId="77777777" w:rsidTr="00CD7EFD">
        <w:tc>
          <w:tcPr>
            <w:tcW w:w="4820" w:type="dxa"/>
          </w:tcPr>
          <w:p w14:paraId="4E132BFF" w14:textId="6284329C" w:rsidR="00CE3490" w:rsidRPr="00A4252C" w:rsidRDefault="00CE3490" w:rsidP="009C5F59">
            <w:pPr>
              <w:pStyle w:val="titoletto"/>
              <w:spacing w:before="60" w:after="0"/>
              <w:rPr>
                <w:b w:val="0"/>
                <w:noProof/>
                <w:lang w:eastAsia="it-IT"/>
              </w:rPr>
            </w:pPr>
            <w:r w:rsidRPr="00A4252C">
              <w:rPr>
                <w:rFonts w:ascii="Arial Narrow" w:hAnsi="Arial Narrow"/>
                <w:b w:val="0"/>
                <w:noProof/>
                <w:sz w:val="15"/>
                <w:szCs w:val="15"/>
              </w:rPr>
              <w:t>Fonte: Inps, Uniemens</w:t>
            </w:r>
            <w:r w:rsidRPr="00A4252C">
              <w:rPr>
                <w:rFonts w:ascii="Arial Narrow" w:hAnsi="Arial Narrow"/>
                <w:b w:val="0"/>
                <w:iCs/>
                <w:color w:val="000000"/>
                <w:sz w:val="18"/>
                <w:szCs w:val="18"/>
                <w:lang w:eastAsia="it-IT"/>
              </w:rPr>
              <w:t xml:space="preserve"> </w:t>
            </w:r>
          </w:p>
        </w:tc>
        <w:tc>
          <w:tcPr>
            <w:tcW w:w="4819" w:type="dxa"/>
          </w:tcPr>
          <w:p w14:paraId="508BBB04" w14:textId="04967DFE" w:rsidR="00CE3490" w:rsidRPr="00A4252C" w:rsidRDefault="00CE3490" w:rsidP="009C5F59">
            <w:pPr>
              <w:pStyle w:val="titoletto"/>
              <w:spacing w:before="60" w:after="0"/>
              <w:rPr>
                <w:b w:val="0"/>
                <w:noProof/>
                <w:lang w:eastAsia="it-IT"/>
              </w:rPr>
            </w:pPr>
            <w:r w:rsidRPr="00A4252C">
              <w:rPr>
                <w:rFonts w:ascii="Arial Narrow" w:hAnsi="Arial Narrow"/>
                <w:b w:val="0"/>
                <w:noProof/>
                <w:sz w:val="15"/>
                <w:szCs w:val="15"/>
              </w:rPr>
              <w:t xml:space="preserve">   Fonte: Inps, Uniemens</w:t>
            </w:r>
          </w:p>
        </w:tc>
      </w:tr>
    </w:tbl>
    <w:p w14:paraId="292FCD9A" w14:textId="77777777" w:rsidR="009C5F59" w:rsidRPr="00A4252C" w:rsidRDefault="009C5F59" w:rsidP="008B6F19">
      <w:pPr>
        <w:pStyle w:val="elenco"/>
        <w:numPr>
          <w:ilvl w:val="0"/>
          <w:numId w:val="0"/>
        </w:numPr>
        <w:ind w:right="-1"/>
        <w:rPr>
          <w:sz w:val="14"/>
        </w:rPr>
      </w:pPr>
    </w:p>
    <w:p w14:paraId="3E222A13" w14:textId="7B28245B" w:rsidR="00E46C8D" w:rsidRPr="00A51547" w:rsidRDefault="00942FC1" w:rsidP="00CD3882">
      <w:pPr>
        <w:spacing w:after="0"/>
      </w:pPr>
      <w:r w:rsidRPr="00A51547">
        <w:t xml:space="preserve">A giugno del 2017, in sede di conversione del decreto legge 24 aprile 2017, n. 50, </w:t>
      </w:r>
      <w:r w:rsidR="00AB2E25" w:rsidRPr="00A51547">
        <w:t xml:space="preserve">il legislatore ha introdotto </w:t>
      </w:r>
      <w:r w:rsidRPr="00A51547">
        <w:t>due nuove forme contrattuali destinate a regolare lo svolgimento di prestazioni di natura occasionale: Libretto Famiglia (LF) e il Contratto di Prestazione Occasionale (CPO). Il primo riguarda i datori di lavoro persone fisiche non nell’esercizio di attività imprenditoriale o professionale, il secondo tutti gli altri soggetti (associazioni, fondazioni, imprese, pubbliche amministrazioni, ecc.).</w:t>
      </w:r>
      <w:r w:rsidR="00A06D17" w:rsidRPr="00A51547">
        <w:rPr>
          <w:rStyle w:val="Rimandonotaapidipagina"/>
        </w:rPr>
        <w:footnoteReference w:id="9"/>
      </w:r>
    </w:p>
    <w:p w14:paraId="789A6891" w14:textId="5A7EB70A" w:rsidR="009B3B4F" w:rsidRDefault="009B3B4F" w:rsidP="009B3B4F">
      <w:pPr>
        <w:pStyle w:val="elenco"/>
        <w:numPr>
          <w:ilvl w:val="0"/>
          <w:numId w:val="0"/>
        </w:numPr>
        <w:ind w:right="0"/>
      </w:pPr>
      <w:r w:rsidRPr="00A51547">
        <w:t xml:space="preserve">La </w:t>
      </w:r>
      <w:r w:rsidRPr="00253D87">
        <w:t xml:space="preserve">consistenza dei lavoratori impiegati con Contratti di Prestazione Occasionale (CPO), ha raggiunto circa 19 mila unità </w:t>
      </w:r>
      <w:r w:rsidR="005631F5" w:rsidRPr="00253D87">
        <w:t>in termini di valori medi mensili</w:t>
      </w:r>
      <w:r w:rsidR="005631F5" w:rsidRPr="005631F5">
        <w:t xml:space="preserve"> </w:t>
      </w:r>
      <w:r w:rsidR="005631F5" w:rsidRPr="00253D87">
        <w:t>nel primo trimestre 2019</w:t>
      </w:r>
      <w:r w:rsidR="005631F5">
        <w:t>,</w:t>
      </w:r>
      <w:r w:rsidR="005631F5" w:rsidRPr="00253D87">
        <w:t xml:space="preserve"> </w:t>
      </w:r>
      <w:r w:rsidRPr="00253D87">
        <w:t xml:space="preserve">con un importo mensile lordo medio di poco inferiore a 250 euro. </w:t>
      </w:r>
      <w:r w:rsidR="00F0765C">
        <w:t>I</w:t>
      </w:r>
      <w:r w:rsidRPr="00253D87">
        <w:t xml:space="preserve"> lavoratori pagati con i titoli del Libretto Famiglia (LF) nel primo trimestre 2019 si sono attestati </w:t>
      </w:r>
      <w:r w:rsidR="00253D87" w:rsidRPr="00253D87">
        <w:t xml:space="preserve">mensilmente </w:t>
      </w:r>
      <w:r w:rsidRPr="00253D87">
        <w:t>attorno a 10 mila unità, con un importo mensile lordo medio di circa 280 euro.</w:t>
      </w:r>
    </w:p>
    <w:p w14:paraId="360DB1AB" w14:textId="77777777" w:rsidR="00253D87" w:rsidRPr="00A51547" w:rsidRDefault="00253D87" w:rsidP="009B3B4F">
      <w:pPr>
        <w:pStyle w:val="elenco"/>
        <w:numPr>
          <w:ilvl w:val="0"/>
          <w:numId w:val="0"/>
        </w:numPr>
        <w:ind w:right="0"/>
      </w:pPr>
    </w:p>
    <w:p w14:paraId="0AC50C30" w14:textId="77777777" w:rsidR="00D83F71" w:rsidRPr="00A51547" w:rsidRDefault="00D83F71" w:rsidP="00AB2E25">
      <w:pPr>
        <w:pStyle w:val="elenco"/>
        <w:numPr>
          <w:ilvl w:val="0"/>
          <w:numId w:val="0"/>
        </w:numPr>
        <w:ind w:right="0"/>
      </w:pPr>
    </w:p>
    <w:p w14:paraId="12336CAB" w14:textId="62951277" w:rsidR="009D0430" w:rsidRPr="00A51547" w:rsidRDefault="009D0430" w:rsidP="009D0430">
      <w:pPr>
        <w:pStyle w:val="titoletto"/>
      </w:pPr>
      <w:r w:rsidRPr="00A51547">
        <w:t>Denunce di infortunio sul lavoro</w:t>
      </w:r>
      <w:r w:rsidR="00FD2C48" w:rsidRPr="00A51547">
        <w:t xml:space="preserve"> e di malatti</w:t>
      </w:r>
      <w:r w:rsidR="007E1C87" w:rsidRPr="00A51547">
        <w:t>a professionale</w:t>
      </w:r>
    </w:p>
    <w:p w14:paraId="49A4C9B9" w14:textId="45128D87" w:rsidR="00B35CA1" w:rsidRPr="00A51547" w:rsidRDefault="00B35CA1" w:rsidP="00B35CA1">
      <w:pPr>
        <w:rPr>
          <w:rFonts w:eastAsia="Calibri" w:cs="Arial"/>
          <w:szCs w:val="20"/>
        </w:rPr>
      </w:pPr>
      <w:r w:rsidRPr="00A51547">
        <w:rPr>
          <w:rFonts w:eastAsia="Calibri" w:cs="Arial"/>
          <w:szCs w:val="20"/>
        </w:rPr>
        <w:t>Nel primo trimestre del 2019</w:t>
      </w:r>
      <w:r w:rsidRPr="00A51547">
        <w:rPr>
          <w:rFonts w:eastAsia="Calibri" w:cs="Arial"/>
          <w:szCs w:val="20"/>
          <w:vertAlign w:val="superscript"/>
        </w:rPr>
        <w:footnoteReference w:id="10"/>
      </w:r>
      <w:r w:rsidRPr="00A51547">
        <w:rPr>
          <w:rFonts w:eastAsia="Calibri" w:cs="Arial"/>
          <w:szCs w:val="20"/>
        </w:rPr>
        <w:t xml:space="preserve"> gli infortuni sul lavoro accaduti e denunciati</w:t>
      </w:r>
      <w:r w:rsidRPr="00A51547">
        <w:rPr>
          <w:rFonts w:eastAsia="Calibri" w:cs="Arial"/>
          <w:szCs w:val="20"/>
          <w:vertAlign w:val="superscript"/>
        </w:rPr>
        <w:footnoteReference w:id="11"/>
      </w:r>
      <w:r w:rsidRPr="00A51547">
        <w:rPr>
          <w:rFonts w:eastAsia="Calibri" w:cs="Arial"/>
          <w:szCs w:val="20"/>
        </w:rPr>
        <w:t xml:space="preserve"> all’Inail sono stati 131 mila </w:t>
      </w:r>
      <w:r w:rsidR="00EC27FB">
        <w:rPr>
          <w:rFonts w:eastAsia="Calibri" w:cs="Arial"/>
          <w:szCs w:val="20"/>
        </w:rPr>
        <w:br/>
      </w:r>
      <w:r w:rsidRPr="00A51547">
        <w:rPr>
          <w:rFonts w:eastAsia="Calibri" w:cs="Arial"/>
          <w:szCs w:val="20"/>
        </w:rPr>
        <w:t>(109 mila in occasione di lavoro e 22 mila in itinere)</w:t>
      </w:r>
      <w:r w:rsidR="00F4558E" w:rsidRPr="00A51547">
        <w:rPr>
          <w:rFonts w:eastAsia="Calibri" w:cs="Arial"/>
          <w:szCs w:val="20"/>
        </w:rPr>
        <w:t>,</w:t>
      </w:r>
      <w:r w:rsidRPr="00A51547">
        <w:rPr>
          <w:rFonts w:eastAsia="Calibri" w:cs="Arial"/>
          <w:szCs w:val="20"/>
        </w:rPr>
        <w:t xml:space="preserve"> </w:t>
      </w:r>
      <w:r w:rsidR="00F4558E" w:rsidRPr="00A51547">
        <w:rPr>
          <w:rFonts w:eastAsia="Calibri" w:cs="Arial"/>
          <w:szCs w:val="20"/>
        </w:rPr>
        <w:t>in</w:t>
      </w:r>
      <w:r w:rsidRPr="00A51547">
        <w:rPr>
          <w:rFonts w:eastAsia="Calibri" w:cs="Arial"/>
          <w:szCs w:val="20"/>
        </w:rPr>
        <w:t xml:space="preserve"> aumento del</w:t>
      </w:r>
      <w:r w:rsidR="00F4558E" w:rsidRPr="00A51547">
        <w:rPr>
          <w:rFonts w:eastAsia="Calibri" w:cs="Arial"/>
          <w:szCs w:val="20"/>
        </w:rPr>
        <w:t>l’</w:t>
      </w:r>
      <w:r w:rsidRPr="00A51547">
        <w:rPr>
          <w:rFonts w:eastAsia="Calibri" w:cs="Arial"/>
          <w:szCs w:val="20"/>
        </w:rPr>
        <w:t xml:space="preserve">1,7% (+2.194 denunce) </w:t>
      </w:r>
      <w:r w:rsidR="00F4558E" w:rsidRPr="00A51547">
        <w:rPr>
          <w:rFonts w:cs="Arial"/>
          <w:szCs w:val="20"/>
        </w:rPr>
        <w:t>in confronto</w:t>
      </w:r>
      <w:r w:rsidRPr="00A51547">
        <w:rPr>
          <w:rFonts w:cs="Arial"/>
          <w:szCs w:val="20"/>
        </w:rPr>
        <w:t xml:space="preserve"> all’analogo trimestre del 2018</w:t>
      </w:r>
      <w:r w:rsidRPr="00A51547">
        <w:rPr>
          <w:rFonts w:eastAsia="Calibri" w:cs="Arial"/>
          <w:szCs w:val="20"/>
        </w:rPr>
        <w:t xml:space="preserve"> (Tavola 1). L’incremento è stato maggiore negli infortuni in itinere</w:t>
      </w:r>
      <w:r w:rsidRPr="00A51547">
        <w:rPr>
          <w:rFonts w:eastAsia="Calibri" w:cs="Arial"/>
          <w:szCs w:val="20"/>
          <w:vertAlign w:val="superscript"/>
        </w:rPr>
        <w:footnoteReference w:id="12"/>
      </w:r>
      <w:r w:rsidRPr="00A51547">
        <w:rPr>
          <w:rFonts w:eastAsia="Calibri" w:cs="Arial"/>
          <w:szCs w:val="20"/>
        </w:rPr>
        <w:t xml:space="preserve"> (+1.358 denunce, +6,6%) </w:t>
      </w:r>
      <w:r w:rsidR="00F4558E" w:rsidRPr="00A51547">
        <w:rPr>
          <w:rFonts w:eastAsia="Calibri" w:cs="Arial"/>
          <w:szCs w:val="20"/>
        </w:rPr>
        <w:t>rispetto a</w:t>
      </w:r>
      <w:r w:rsidRPr="00A51547">
        <w:rPr>
          <w:rFonts w:eastAsia="Calibri" w:cs="Arial"/>
          <w:szCs w:val="20"/>
        </w:rPr>
        <w:t xml:space="preserve"> quelli in occasione di lavoro (+836 denunce, +0,8%). </w:t>
      </w:r>
      <w:r w:rsidRPr="00A51547">
        <w:rPr>
          <w:szCs w:val="20"/>
        </w:rPr>
        <w:t>Considerando gli infortuni in occasione di lavoro, l’aumento percentuale ha interessato l’agricoltura e i s</w:t>
      </w:r>
      <w:r w:rsidRPr="00A51547">
        <w:rPr>
          <w:rFonts w:eastAsia="Calibri" w:cs="Arial"/>
          <w:szCs w:val="20"/>
        </w:rPr>
        <w:t>ervizi</w:t>
      </w:r>
      <w:r w:rsidRPr="00A51547">
        <w:rPr>
          <w:rFonts w:eastAsia="Calibri" w:cs="Arial"/>
          <w:szCs w:val="20"/>
          <w:vertAlign w:val="superscript"/>
        </w:rPr>
        <w:footnoteReference w:id="13"/>
      </w:r>
      <w:r w:rsidRPr="00A51547">
        <w:rPr>
          <w:rFonts w:eastAsia="Calibri" w:cs="Arial"/>
          <w:szCs w:val="20"/>
        </w:rPr>
        <w:t xml:space="preserve"> (rispettivamente +7,9% e +1,3%) mentre le attività industriali hanno registrato un contenuto decremento (-0,9%). </w:t>
      </w:r>
    </w:p>
    <w:p w14:paraId="51DB9C51" w14:textId="11715D3C" w:rsidR="00B35CA1" w:rsidRPr="00A51547" w:rsidRDefault="00B35CA1" w:rsidP="00B35CA1">
      <w:pPr>
        <w:rPr>
          <w:rFonts w:cs="Arial"/>
          <w:szCs w:val="20"/>
        </w:rPr>
      </w:pPr>
      <w:r w:rsidRPr="00A51547">
        <w:rPr>
          <w:rFonts w:eastAsia="Calibri" w:cs="Arial"/>
          <w:szCs w:val="20"/>
        </w:rPr>
        <w:t>Gli infortuni sul lavoro con esito mortale denunciati all’Inail sono stati 212 (144 in occasione di lavoro e 68 in itinere) confermando il dato del</w:t>
      </w:r>
      <w:r w:rsidRPr="00A51547">
        <w:rPr>
          <w:rFonts w:cs="Arial"/>
          <w:szCs w:val="20"/>
        </w:rPr>
        <w:t>l’analogo trimestre del 2018 (212), con un caso in più in itinere compensato da uno in meno in occasione di lavoro</w:t>
      </w:r>
      <w:r w:rsidRPr="00A51547">
        <w:rPr>
          <w:rFonts w:eastAsia="Calibri" w:cs="Arial"/>
          <w:szCs w:val="20"/>
        </w:rPr>
        <w:t xml:space="preserve">. </w:t>
      </w:r>
      <w:r w:rsidRPr="00A51547">
        <w:rPr>
          <w:rFonts w:cs="Arial"/>
          <w:szCs w:val="20"/>
        </w:rPr>
        <w:t xml:space="preserve">Con riferimento ai soli infortuni mortali in occasione di lavoro, il calo di un’unità è il saldo di un aumento significativo in agricoltura (+10 casi) e di un calo nelle attività industriali </w:t>
      </w:r>
      <w:r w:rsidR="00EC27FB">
        <w:rPr>
          <w:rFonts w:cs="Arial"/>
          <w:szCs w:val="20"/>
        </w:rPr>
        <w:br/>
      </w:r>
      <w:r w:rsidRPr="00A51547">
        <w:rPr>
          <w:rFonts w:cs="Arial"/>
          <w:szCs w:val="20"/>
        </w:rPr>
        <w:t xml:space="preserve">(-8) e </w:t>
      </w:r>
      <w:r w:rsidR="00D81974" w:rsidRPr="00A51547">
        <w:rPr>
          <w:rFonts w:cs="Arial"/>
          <w:szCs w:val="20"/>
        </w:rPr>
        <w:t>n</w:t>
      </w:r>
      <w:r w:rsidRPr="00A51547">
        <w:rPr>
          <w:rFonts w:cs="Arial"/>
          <w:szCs w:val="20"/>
        </w:rPr>
        <w:t xml:space="preserve">ei servizi (-3). </w:t>
      </w:r>
    </w:p>
    <w:p w14:paraId="75215E10" w14:textId="71A48780" w:rsidR="00B35CA1" w:rsidRPr="00A51547" w:rsidRDefault="00B35CA1" w:rsidP="00B35CA1">
      <w:pPr>
        <w:rPr>
          <w:rFonts w:eastAsia="Calibri" w:cs="Arial"/>
          <w:szCs w:val="20"/>
        </w:rPr>
      </w:pPr>
      <w:r w:rsidRPr="00A51547">
        <w:rPr>
          <w:rFonts w:eastAsia="Calibri" w:cs="Arial"/>
          <w:szCs w:val="20"/>
        </w:rPr>
        <w:lastRenderedPageBreak/>
        <w:t xml:space="preserve">Nel primo trimestre del 2019 le denunce di malattie professionali </w:t>
      </w:r>
      <w:r w:rsidRPr="00A51547">
        <w:rPr>
          <w:rFonts w:eastAsia="Calibri" w:cs="Arial"/>
          <w:color w:val="000000" w:themeColor="text1"/>
          <w:szCs w:val="20"/>
        </w:rPr>
        <w:t xml:space="preserve">protocollate </w:t>
      </w:r>
      <w:r w:rsidRPr="00A51547">
        <w:rPr>
          <w:rFonts w:eastAsia="Calibri" w:cs="Arial"/>
          <w:szCs w:val="20"/>
        </w:rPr>
        <w:t>dall’Inail sono state 15.900, in diminuzione (-1,4%, 224 casi in meno) rispetto all’analogo trimestre dell’anno precedente. Nel trimestre l’80% delle malattie professionali denunciate hanno interessato i settori di attività economica dell’industria e servizi e il rimanente 20% l’agricoltura, con entrambe le gestioni interessate dal calo.</w:t>
      </w:r>
    </w:p>
    <w:p w14:paraId="16C5E1F6" w14:textId="16636292" w:rsidR="00B35CA1" w:rsidRDefault="00B35CA1" w:rsidP="00B35CA1">
      <w:pPr>
        <w:rPr>
          <w:rFonts w:eastAsia="Calibri" w:cs="Arial"/>
          <w:szCs w:val="20"/>
        </w:rPr>
      </w:pPr>
      <w:r w:rsidRPr="00A51547">
        <w:rPr>
          <w:rFonts w:eastAsia="Calibri" w:cs="Arial"/>
          <w:szCs w:val="20"/>
        </w:rPr>
        <w:t>Il 52% delle patologie denunciate sono a carico del sistema osteomuscolare, seguite dalle malattie del sistema nervoso (soprattutto sindromi del tunnel carpale) e dell’orecchio (ipoacusie) (Tavola 6). Rispetto al primo trimestre dell’anno scorso, a fronte di cali significativi per le patologie del sistema nervoso, respiratorio e per le ipoacusie, si rileva la crescita di quelle osteomuscolari (+1,6%) e dei tumori (+11 denunce).</w:t>
      </w:r>
    </w:p>
    <w:p w14:paraId="383E0449" w14:textId="77777777" w:rsidR="0072313D" w:rsidRPr="00A51547" w:rsidRDefault="0072313D" w:rsidP="00B35CA1">
      <w:pPr>
        <w:rPr>
          <w:rFonts w:eastAsia="Calibri" w:cs="Arial"/>
          <w:szCs w:val="20"/>
        </w:rPr>
      </w:pPr>
    </w:p>
    <w:p w14:paraId="7C3956D1" w14:textId="407A58C8" w:rsidR="0020717C" w:rsidRPr="00A51547" w:rsidRDefault="0020717C" w:rsidP="0072313D">
      <w:pPr>
        <w:spacing w:after="0"/>
        <w:rPr>
          <w:rFonts w:ascii="Arial Narrow" w:hAnsi="Arial Narrow" w:cs="Arial"/>
          <w:b/>
          <w:color w:val="17365D"/>
          <w:kern w:val="28"/>
        </w:rPr>
      </w:pPr>
      <w:r w:rsidRPr="00A51547">
        <w:rPr>
          <w:rFonts w:ascii="Arial Narrow" w:hAnsi="Arial Narrow" w:cs="Arial"/>
          <w:b/>
          <w:color w:val="17365D"/>
          <w:kern w:val="28"/>
        </w:rPr>
        <w:t>TAVOLA 6. DENUNCE DI MALATTIA PROFESSIONALE</w:t>
      </w:r>
    </w:p>
    <w:p w14:paraId="3EC47DEC" w14:textId="7BEACFE0" w:rsidR="0020717C" w:rsidRPr="00A51547" w:rsidRDefault="0020717C" w:rsidP="0072313D">
      <w:pPr>
        <w:pStyle w:val="Testocommento"/>
        <w:rPr>
          <w:rFonts w:ascii="Arial Narrow" w:hAnsi="Arial Narrow" w:cs="Arial"/>
          <w:kern w:val="28"/>
          <w:sz w:val="19"/>
          <w:szCs w:val="19"/>
        </w:rPr>
      </w:pPr>
      <w:r w:rsidRPr="00A51547">
        <w:rPr>
          <w:rFonts w:ascii="Arial Narrow" w:hAnsi="Arial Narrow" w:cs="Arial"/>
          <w:kern w:val="28"/>
          <w:sz w:val="19"/>
          <w:szCs w:val="19"/>
        </w:rPr>
        <w:t>I trimestre 201</w:t>
      </w:r>
      <w:r w:rsidR="008E0AAE" w:rsidRPr="00A51547">
        <w:rPr>
          <w:rFonts w:ascii="Arial Narrow" w:hAnsi="Arial Narrow" w:cs="Arial"/>
          <w:kern w:val="28"/>
          <w:sz w:val="19"/>
          <w:szCs w:val="19"/>
        </w:rPr>
        <w:t>9</w:t>
      </w:r>
      <w:r w:rsidRPr="00A51547">
        <w:rPr>
          <w:rFonts w:ascii="Arial Narrow" w:hAnsi="Arial Narrow" w:cs="Arial"/>
          <w:kern w:val="28"/>
          <w:sz w:val="19"/>
          <w:szCs w:val="19"/>
        </w:rPr>
        <w:t>, valori all’unità (dati grezzi), variazioni assolute e percentuali</w:t>
      </w:r>
    </w:p>
    <w:tbl>
      <w:tblPr>
        <w:tblW w:w="0" w:type="auto"/>
        <w:tblInd w:w="55" w:type="dxa"/>
        <w:tblLayout w:type="fixed"/>
        <w:tblCellMar>
          <w:left w:w="70" w:type="dxa"/>
          <w:right w:w="70" w:type="dxa"/>
        </w:tblCellMar>
        <w:tblLook w:val="04A0" w:firstRow="1" w:lastRow="0" w:firstColumn="1" w:lastColumn="0" w:noHBand="0" w:noVBand="1"/>
      </w:tblPr>
      <w:tblGrid>
        <w:gridCol w:w="581"/>
        <w:gridCol w:w="3161"/>
        <w:gridCol w:w="580"/>
        <w:gridCol w:w="580"/>
        <w:gridCol w:w="580"/>
        <w:gridCol w:w="1763"/>
        <w:gridCol w:w="1275"/>
        <w:gridCol w:w="1059"/>
      </w:tblGrid>
      <w:tr w:rsidR="0020717C" w:rsidRPr="00A51547" w14:paraId="5A9285EF" w14:textId="77777777" w:rsidTr="00E138DD">
        <w:trPr>
          <w:trHeight w:val="795"/>
        </w:trPr>
        <w:tc>
          <w:tcPr>
            <w:tcW w:w="5482" w:type="dxa"/>
            <w:gridSpan w:val="5"/>
            <w:tcBorders>
              <w:top w:val="nil"/>
              <w:left w:val="nil"/>
              <w:bottom w:val="nil"/>
              <w:right w:val="nil"/>
            </w:tcBorders>
            <w:shd w:val="clear" w:color="000000" w:fill="16365C"/>
            <w:vAlign w:val="center"/>
            <w:hideMark/>
          </w:tcPr>
          <w:p w14:paraId="131F9317" w14:textId="77777777" w:rsidR="0020717C" w:rsidRPr="00EC27FB" w:rsidRDefault="0020717C" w:rsidP="00E138DD">
            <w:pPr>
              <w:spacing w:after="0"/>
              <w:jc w:val="left"/>
              <w:rPr>
                <w:rFonts w:ascii="Arial Narrow" w:hAnsi="Arial Narrow" w:cs="Calibri"/>
                <w:b/>
                <w:bCs/>
                <w:color w:val="FFFFFF"/>
                <w:sz w:val="18"/>
                <w:szCs w:val="18"/>
                <w:lang w:eastAsia="it-IT"/>
              </w:rPr>
            </w:pPr>
            <w:r w:rsidRPr="00EC27FB">
              <w:rPr>
                <w:rFonts w:ascii="Arial Narrow" w:hAnsi="Arial Narrow" w:cs="Calibri"/>
                <w:b/>
                <w:bCs/>
                <w:color w:val="FFFFFF"/>
                <w:sz w:val="18"/>
                <w:szCs w:val="18"/>
                <w:lang w:eastAsia="it-IT"/>
              </w:rPr>
              <w:t xml:space="preserve">DENUNCE DI MALATTIA PROFESSIONALE (sezioni A-T Ateco 2007, </w:t>
            </w:r>
            <w:r w:rsidRPr="00EC27FB">
              <w:rPr>
                <w:rFonts w:ascii="Arial Narrow" w:hAnsi="Arial Narrow" w:cs="Calibri"/>
                <w:b/>
                <w:bCs/>
                <w:color w:val="FFFFFF" w:themeColor="background1"/>
                <w:sz w:val="18"/>
                <w:szCs w:val="18"/>
                <w:lang w:eastAsia="it-IT"/>
              </w:rPr>
              <w:t>esclusi marittimi; al netto di studenti) per classificazione ICD-X (settore)</w:t>
            </w:r>
          </w:p>
        </w:tc>
        <w:tc>
          <w:tcPr>
            <w:tcW w:w="1763" w:type="dxa"/>
            <w:tcBorders>
              <w:top w:val="nil"/>
              <w:left w:val="nil"/>
              <w:right w:val="nil"/>
            </w:tcBorders>
            <w:shd w:val="clear" w:color="000000" w:fill="16365C"/>
            <w:noWrap/>
            <w:vAlign w:val="center"/>
            <w:hideMark/>
          </w:tcPr>
          <w:p w14:paraId="3D5A905A" w14:textId="77777777" w:rsidR="0020717C" w:rsidRPr="0072313D" w:rsidRDefault="0020717C" w:rsidP="00E138DD">
            <w:pPr>
              <w:spacing w:after="0"/>
              <w:jc w:val="center"/>
              <w:rPr>
                <w:rFonts w:ascii="Arial Narrow" w:hAnsi="Arial Narrow" w:cs="Calibri"/>
                <w:b/>
                <w:color w:val="FFFFFF"/>
                <w:sz w:val="18"/>
                <w:szCs w:val="18"/>
                <w:lang w:eastAsia="it-IT"/>
              </w:rPr>
            </w:pPr>
            <w:r w:rsidRPr="0072313D">
              <w:rPr>
                <w:rFonts w:ascii="Arial Narrow" w:hAnsi="Arial Narrow" w:cs="Calibri"/>
                <w:b/>
                <w:color w:val="FFFFFF"/>
                <w:sz w:val="18"/>
                <w:szCs w:val="18"/>
                <w:lang w:eastAsia="it-IT"/>
              </w:rPr>
              <w:t>Valori</w:t>
            </w:r>
          </w:p>
          <w:p w14:paraId="5660B2F9" w14:textId="77777777" w:rsidR="0020717C" w:rsidRPr="0072313D" w:rsidRDefault="0020717C" w:rsidP="00E138DD">
            <w:pPr>
              <w:spacing w:after="0"/>
              <w:jc w:val="center"/>
              <w:rPr>
                <w:rFonts w:ascii="Arial Narrow" w:hAnsi="Arial Narrow" w:cs="Calibri"/>
                <w:b/>
                <w:color w:val="FFFFFF"/>
                <w:sz w:val="18"/>
                <w:szCs w:val="18"/>
                <w:lang w:eastAsia="it-IT"/>
              </w:rPr>
            </w:pPr>
            <w:r w:rsidRPr="0072313D">
              <w:rPr>
                <w:rFonts w:ascii="Arial Narrow" w:hAnsi="Arial Narrow" w:cs="Calibri"/>
                <w:b/>
                <w:color w:val="FFFFFF"/>
                <w:sz w:val="18"/>
                <w:szCs w:val="18"/>
                <w:lang w:eastAsia="it-IT"/>
              </w:rPr>
              <w:t>assoluti</w:t>
            </w:r>
          </w:p>
        </w:tc>
        <w:tc>
          <w:tcPr>
            <w:tcW w:w="2334" w:type="dxa"/>
            <w:gridSpan w:val="2"/>
            <w:tcBorders>
              <w:top w:val="nil"/>
              <w:left w:val="nil"/>
              <w:right w:val="nil"/>
            </w:tcBorders>
            <w:shd w:val="clear" w:color="000000" w:fill="16365C"/>
            <w:noWrap/>
            <w:vAlign w:val="center"/>
            <w:hideMark/>
          </w:tcPr>
          <w:p w14:paraId="56BED1F9" w14:textId="77777777" w:rsidR="0020717C" w:rsidRPr="0072313D" w:rsidRDefault="0020717C" w:rsidP="00E138DD">
            <w:pPr>
              <w:spacing w:after="0"/>
              <w:jc w:val="center"/>
              <w:rPr>
                <w:rFonts w:ascii="Arial Narrow" w:hAnsi="Arial Narrow" w:cs="Calibri"/>
                <w:b/>
                <w:color w:val="FFFFFF"/>
                <w:sz w:val="18"/>
                <w:szCs w:val="18"/>
                <w:lang w:eastAsia="it-IT"/>
              </w:rPr>
            </w:pPr>
            <w:r w:rsidRPr="0072313D">
              <w:rPr>
                <w:rFonts w:ascii="Arial Narrow" w:hAnsi="Arial Narrow" w:cs="Calibri"/>
                <w:b/>
                <w:color w:val="FFFFFF"/>
                <w:sz w:val="18"/>
                <w:szCs w:val="18"/>
                <w:lang w:eastAsia="it-IT"/>
              </w:rPr>
              <w:t>Variazioni tendenziali</w:t>
            </w:r>
          </w:p>
          <w:p w14:paraId="718A1D4A" w14:textId="117A8504" w:rsidR="0020717C" w:rsidRPr="0072313D" w:rsidRDefault="0020717C" w:rsidP="008E0AAE">
            <w:pPr>
              <w:spacing w:after="0"/>
              <w:jc w:val="center"/>
              <w:rPr>
                <w:rFonts w:ascii="Arial Narrow" w:hAnsi="Arial Narrow" w:cs="Calibri"/>
                <w:b/>
                <w:color w:val="FFFFFF"/>
                <w:sz w:val="18"/>
                <w:szCs w:val="18"/>
                <w:lang w:eastAsia="it-IT"/>
              </w:rPr>
            </w:pPr>
            <w:r w:rsidRPr="0072313D">
              <w:rPr>
                <w:rFonts w:ascii="Arial Narrow" w:hAnsi="Arial Narrow" w:cs="Calibri"/>
                <w:b/>
                <w:color w:val="FFFFFF"/>
                <w:sz w:val="18"/>
                <w:szCs w:val="18"/>
                <w:lang w:eastAsia="it-IT"/>
              </w:rPr>
              <w:t>(I 201</w:t>
            </w:r>
            <w:r w:rsidR="008E0AAE" w:rsidRPr="0072313D">
              <w:rPr>
                <w:rFonts w:ascii="Arial Narrow" w:hAnsi="Arial Narrow" w:cs="Calibri"/>
                <w:b/>
                <w:color w:val="FFFFFF"/>
                <w:sz w:val="18"/>
                <w:szCs w:val="18"/>
                <w:lang w:eastAsia="it-IT"/>
              </w:rPr>
              <w:t>9</w:t>
            </w:r>
            <w:r w:rsidRPr="0072313D">
              <w:rPr>
                <w:rFonts w:ascii="Arial Narrow" w:hAnsi="Arial Narrow" w:cs="Calibri"/>
                <w:b/>
                <w:color w:val="FFFFFF"/>
                <w:sz w:val="18"/>
                <w:szCs w:val="18"/>
                <w:lang w:eastAsia="it-IT"/>
              </w:rPr>
              <w:t xml:space="preserve"> / I 201</w:t>
            </w:r>
            <w:r w:rsidR="008E0AAE" w:rsidRPr="0072313D">
              <w:rPr>
                <w:rFonts w:ascii="Arial Narrow" w:hAnsi="Arial Narrow" w:cs="Calibri"/>
                <w:b/>
                <w:color w:val="FFFFFF"/>
                <w:sz w:val="18"/>
                <w:szCs w:val="18"/>
                <w:lang w:eastAsia="it-IT"/>
              </w:rPr>
              <w:t>8</w:t>
            </w:r>
            <w:r w:rsidRPr="0072313D">
              <w:rPr>
                <w:rFonts w:ascii="Arial Narrow" w:hAnsi="Arial Narrow" w:cs="Calibri"/>
                <w:b/>
                <w:color w:val="FFFFFF"/>
                <w:sz w:val="18"/>
                <w:szCs w:val="18"/>
                <w:lang w:eastAsia="it-IT"/>
              </w:rPr>
              <w:t>)</w:t>
            </w:r>
          </w:p>
        </w:tc>
      </w:tr>
      <w:tr w:rsidR="0020717C" w:rsidRPr="00A51547" w14:paraId="1C499919" w14:textId="77777777" w:rsidTr="00E138DD">
        <w:trPr>
          <w:trHeight w:val="300"/>
        </w:trPr>
        <w:tc>
          <w:tcPr>
            <w:tcW w:w="581" w:type="dxa"/>
            <w:tcBorders>
              <w:top w:val="nil"/>
              <w:left w:val="nil"/>
              <w:bottom w:val="single" w:sz="4" w:space="0" w:color="auto"/>
              <w:right w:val="nil"/>
            </w:tcBorders>
            <w:shd w:val="clear" w:color="auto" w:fill="auto"/>
            <w:noWrap/>
            <w:vAlign w:val="center"/>
            <w:hideMark/>
          </w:tcPr>
          <w:p w14:paraId="42290AF3" w14:textId="77777777" w:rsidR="0020717C" w:rsidRPr="00EC27FB" w:rsidRDefault="0020717C" w:rsidP="00E138DD">
            <w:pPr>
              <w:spacing w:after="0"/>
              <w:jc w:val="left"/>
              <w:rPr>
                <w:rFonts w:ascii="Arial Narrow" w:hAnsi="Arial Narrow" w:cs="Calibri"/>
                <w:b/>
                <w:bCs/>
                <w:color w:val="000000"/>
                <w:sz w:val="18"/>
                <w:szCs w:val="18"/>
                <w:lang w:eastAsia="it-IT"/>
              </w:rPr>
            </w:pPr>
          </w:p>
        </w:tc>
        <w:tc>
          <w:tcPr>
            <w:tcW w:w="3161" w:type="dxa"/>
            <w:tcBorders>
              <w:top w:val="nil"/>
              <w:left w:val="nil"/>
              <w:bottom w:val="single" w:sz="4" w:space="0" w:color="auto"/>
              <w:right w:val="nil"/>
            </w:tcBorders>
            <w:shd w:val="clear" w:color="auto" w:fill="auto"/>
            <w:noWrap/>
            <w:vAlign w:val="center"/>
            <w:hideMark/>
          </w:tcPr>
          <w:p w14:paraId="3B95E00C" w14:textId="77777777" w:rsidR="0020717C" w:rsidRPr="00EC27FB" w:rsidRDefault="0020717C" w:rsidP="00E138DD">
            <w:pPr>
              <w:spacing w:after="0"/>
              <w:jc w:val="left"/>
              <w:rPr>
                <w:rFonts w:ascii="Arial Narrow" w:hAnsi="Arial Narrow" w:cs="Calibri"/>
                <w:b/>
                <w:bCs/>
                <w:color w:val="000000"/>
                <w:sz w:val="18"/>
                <w:szCs w:val="18"/>
                <w:lang w:eastAsia="it-IT"/>
              </w:rPr>
            </w:pPr>
          </w:p>
        </w:tc>
        <w:tc>
          <w:tcPr>
            <w:tcW w:w="580" w:type="dxa"/>
            <w:tcBorders>
              <w:top w:val="nil"/>
              <w:left w:val="nil"/>
              <w:bottom w:val="single" w:sz="4" w:space="0" w:color="auto"/>
              <w:right w:val="nil"/>
            </w:tcBorders>
            <w:shd w:val="clear" w:color="auto" w:fill="auto"/>
            <w:noWrap/>
            <w:vAlign w:val="center"/>
            <w:hideMark/>
          </w:tcPr>
          <w:p w14:paraId="7FC1090B" w14:textId="77777777" w:rsidR="0020717C" w:rsidRPr="00EC27FB" w:rsidRDefault="0020717C" w:rsidP="00E138DD">
            <w:pPr>
              <w:spacing w:after="0"/>
              <w:jc w:val="left"/>
              <w:rPr>
                <w:rFonts w:ascii="Arial Narrow" w:hAnsi="Arial Narrow" w:cs="Calibri"/>
                <w:b/>
                <w:bCs/>
                <w:color w:val="000000"/>
                <w:sz w:val="18"/>
                <w:szCs w:val="18"/>
                <w:lang w:eastAsia="it-IT"/>
              </w:rPr>
            </w:pPr>
          </w:p>
        </w:tc>
        <w:tc>
          <w:tcPr>
            <w:tcW w:w="580" w:type="dxa"/>
            <w:tcBorders>
              <w:top w:val="nil"/>
              <w:left w:val="nil"/>
              <w:bottom w:val="single" w:sz="4" w:space="0" w:color="auto"/>
              <w:right w:val="nil"/>
            </w:tcBorders>
            <w:shd w:val="clear" w:color="auto" w:fill="auto"/>
            <w:noWrap/>
            <w:vAlign w:val="center"/>
            <w:hideMark/>
          </w:tcPr>
          <w:p w14:paraId="2B84DF49" w14:textId="77777777" w:rsidR="0020717C" w:rsidRPr="00EC27FB" w:rsidRDefault="0020717C" w:rsidP="00E138DD">
            <w:pPr>
              <w:spacing w:after="0"/>
              <w:jc w:val="left"/>
              <w:rPr>
                <w:rFonts w:ascii="Arial Narrow" w:hAnsi="Arial Narrow" w:cs="Calibri"/>
                <w:b/>
                <w:bCs/>
                <w:color w:val="000000"/>
                <w:sz w:val="18"/>
                <w:szCs w:val="18"/>
                <w:lang w:eastAsia="it-IT"/>
              </w:rPr>
            </w:pPr>
          </w:p>
        </w:tc>
        <w:tc>
          <w:tcPr>
            <w:tcW w:w="580" w:type="dxa"/>
            <w:tcBorders>
              <w:top w:val="nil"/>
              <w:left w:val="nil"/>
              <w:bottom w:val="single" w:sz="4" w:space="0" w:color="auto"/>
              <w:right w:val="nil"/>
            </w:tcBorders>
            <w:shd w:val="clear" w:color="auto" w:fill="auto"/>
            <w:noWrap/>
            <w:vAlign w:val="center"/>
            <w:hideMark/>
          </w:tcPr>
          <w:p w14:paraId="2376C9C4" w14:textId="77777777" w:rsidR="0020717C" w:rsidRPr="00EC27FB" w:rsidRDefault="0020717C" w:rsidP="00E138DD">
            <w:pPr>
              <w:spacing w:after="0"/>
              <w:jc w:val="left"/>
              <w:rPr>
                <w:rFonts w:ascii="Arial Narrow" w:hAnsi="Arial Narrow" w:cs="Calibri"/>
                <w:b/>
                <w:bCs/>
                <w:color w:val="000000"/>
                <w:sz w:val="18"/>
                <w:szCs w:val="18"/>
                <w:lang w:eastAsia="it-IT"/>
              </w:rPr>
            </w:pPr>
          </w:p>
        </w:tc>
        <w:tc>
          <w:tcPr>
            <w:tcW w:w="1763" w:type="dxa"/>
            <w:tcBorders>
              <w:top w:val="nil"/>
              <w:left w:val="nil"/>
              <w:bottom w:val="single" w:sz="4" w:space="0" w:color="auto"/>
              <w:right w:val="nil"/>
            </w:tcBorders>
            <w:shd w:val="clear" w:color="auto" w:fill="auto"/>
            <w:noWrap/>
            <w:vAlign w:val="center"/>
            <w:hideMark/>
          </w:tcPr>
          <w:p w14:paraId="1F271A4E" w14:textId="77777777" w:rsidR="0020717C" w:rsidRPr="00EC27FB" w:rsidRDefault="0020717C" w:rsidP="00E138DD">
            <w:pPr>
              <w:spacing w:after="0"/>
              <w:jc w:val="right"/>
              <w:rPr>
                <w:rFonts w:ascii="Arial Narrow" w:hAnsi="Arial Narrow" w:cs="Calibri"/>
                <w:color w:val="000000"/>
                <w:sz w:val="18"/>
                <w:szCs w:val="18"/>
                <w:lang w:eastAsia="it-IT"/>
              </w:rPr>
            </w:pPr>
          </w:p>
        </w:tc>
        <w:tc>
          <w:tcPr>
            <w:tcW w:w="1275" w:type="dxa"/>
            <w:tcBorders>
              <w:top w:val="nil"/>
              <w:left w:val="nil"/>
              <w:bottom w:val="single" w:sz="4" w:space="0" w:color="auto"/>
              <w:right w:val="nil"/>
            </w:tcBorders>
            <w:shd w:val="clear" w:color="auto" w:fill="auto"/>
            <w:noWrap/>
            <w:vAlign w:val="center"/>
            <w:hideMark/>
          </w:tcPr>
          <w:p w14:paraId="3A28DB5B" w14:textId="77777777" w:rsidR="0020717C" w:rsidRPr="00EC27FB" w:rsidRDefault="0020717C" w:rsidP="00E138DD">
            <w:pPr>
              <w:spacing w:after="0"/>
              <w:jc w:val="center"/>
              <w:rPr>
                <w:rFonts w:ascii="Arial Narrow" w:hAnsi="Arial Narrow" w:cs="Calibri"/>
                <w:color w:val="000000"/>
                <w:sz w:val="18"/>
                <w:szCs w:val="18"/>
                <w:lang w:eastAsia="it-IT"/>
              </w:rPr>
            </w:pPr>
            <w:r w:rsidRPr="00EC27FB">
              <w:rPr>
                <w:rFonts w:ascii="Arial Narrow" w:hAnsi="Arial Narrow" w:cs="Calibri"/>
                <w:color w:val="000000"/>
                <w:sz w:val="18"/>
                <w:szCs w:val="18"/>
                <w:lang w:eastAsia="it-IT"/>
              </w:rPr>
              <w:t>Assolute</w:t>
            </w:r>
          </w:p>
        </w:tc>
        <w:tc>
          <w:tcPr>
            <w:tcW w:w="1059" w:type="dxa"/>
            <w:tcBorders>
              <w:top w:val="nil"/>
              <w:left w:val="nil"/>
              <w:bottom w:val="single" w:sz="4" w:space="0" w:color="auto"/>
              <w:right w:val="nil"/>
            </w:tcBorders>
            <w:shd w:val="clear" w:color="auto" w:fill="auto"/>
            <w:noWrap/>
            <w:vAlign w:val="center"/>
            <w:hideMark/>
          </w:tcPr>
          <w:p w14:paraId="4C7414AA" w14:textId="77777777" w:rsidR="0020717C" w:rsidRPr="00EC27FB" w:rsidRDefault="0020717C" w:rsidP="00E138DD">
            <w:pPr>
              <w:spacing w:after="0"/>
              <w:jc w:val="center"/>
              <w:rPr>
                <w:rFonts w:ascii="Arial Narrow" w:hAnsi="Arial Narrow" w:cs="Calibri"/>
                <w:color w:val="000000"/>
                <w:sz w:val="18"/>
                <w:szCs w:val="18"/>
                <w:lang w:eastAsia="it-IT"/>
              </w:rPr>
            </w:pPr>
            <w:r w:rsidRPr="00EC27FB">
              <w:rPr>
                <w:rFonts w:ascii="Arial Narrow" w:hAnsi="Arial Narrow" w:cs="Calibri"/>
                <w:color w:val="000000"/>
                <w:sz w:val="18"/>
                <w:szCs w:val="18"/>
                <w:lang w:eastAsia="it-IT"/>
              </w:rPr>
              <w:t>%</w:t>
            </w:r>
          </w:p>
        </w:tc>
      </w:tr>
      <w:tr w:rsidR="008E0AAE" w:rsidRPr="00A51547" w14:paraId="064B296E" w14:textId="77777777" w:rsidTr="00E138DD">
        <w:trPr>
          <w:trHeight w:val="384"/>
        </w:trPr>
        <w:tc>
          <w:tcPr>
            <w:tcW w:w="4902" w:type="dxa"/>
            <w:gridSpan w:val="4"/>
            <w:tcBorders>
              <w:top w:val="single" w:sz="4" w:space="0" w:color="auto"/>
              <w:left w:val="nil"/>
              <w:bottom w:val="single" w:sz="4" w:space="0" w:color="auto"/>
              <w:right w:val="nil"/>
            </w:tcBorders>
            <w:shd w:val="clear" w:color="auto" w:fill="auto"/>
            <w:noWrap/>
            <w:vAlign w:val="center"/>
            <w:hideMark/>
          </w:tcPr>
          <w:p w14:paraId="4E8317AB" w14:textId="77777777" w:rsidR="008E0AAE" w:rsidRPr="00EC27FB" w:rsidRDefault="008E0AAE" w:rsidP="008E0AAE">
            <w:pPr>
              <w:spacing w:after="0"/>
              <w:rPr>
                <w:rFonts w:ascii="Arial Narrow" w:hAnsi="Arial Narrow" w:cs="Calibri"/>
                <w:color w:val="000000"/>
                <w:sz w:val="18"/>
                <w:szCs w:val="18"/>
                <w:lang w:eastAsia="it-IT"/>
              </w:rPr>
            </w:pPr>
            <w:r w:rsidRPr="00EC27FB">
              <w:rPr>
                <w:rFonts w:ascii="Arial Narrow" w:hAnsi="Arial Narrow" w:cs="Calibri"/>
                <w:color w:val="000000"/>
                <w:sz w:val="18"/>
                <w:szCs w:val="18"/>
                <w:lang w:eastAsia="it-IT"/>
              </w:rPr>
              <w:t>Numero di denunce di malattia professionale</w:t>
            </w:r>
          </w:p>
        </w:tc>
        <w:tc>
          <w:tcPr>
            <w:tcW w:w="580" w:type="dxa"/>
            <w:tcBorders>
              <w:top w:val="single" w:sz="4" w:space="0" w:color="auto"/>
              <w:left w:val="nil"/>
              <w:bottom w:val="single" w:sz="4" w:space="0" w:color="auto"/>
              <w:right w:val="nil"/>
            </w:tcBorders>
            <w:shd w:val="clear" w:color="auto" w:fill="auto"/>
            <w:noWrap/>
            <w:vAlign w:val="center"/>
            <w:hideMark/>
          </w:tcPr>
          <w:p w14:paraId="162FCED2" w14:textId="77777777" w:rsidR="008E0AAE" w:rsidRPr="00EC27FB" w:rsidRDefault="008E0AAE" w:rsidP="008E0AAE">
            <w:pPr>
              <w:spacing w:after="0"/>
              <w:rPr>
                <w:rFonts w:ascii="Arial Narrow" w:hAnsi="Arial Narrow" w:cs="Calibri"/>
                <w:color w:val="000000"/>
                <w:sz w:val="18"/>
                <w:szCs w:val="18"/>
                <w:lang w:eastAsia="it-IT"/>
              </w:rPr>
            </w:pPr>
          </w:p>
        </w:tc>
        <w:tc>
          <w:tcPr>
            <w:tcW w:w="1763" w:type="dxa"/>
            <w:tcBorders>
              <w:top w:val="single" w:sz="4" w:space="0" w:color="auto"/>
              <w:left w:val="nil"/>
              <w:bottom w:val="single" w:sz="4" w:space="0" w:color="auto"/>
              <w:right w:val="nil"/>
            </w:tcBorders>
            <w:shd w:val="clear" w:color="000000" w:fill="D9D9D9"/>
            <w:noWrap/>
            <w:vAlign w:val="center"/>
          </w:tcPr>
          <w:p w14:paraId="431DFDA5" w14:textId="776EB315"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color w:val="000000"/>
                <w:sz w:val="18"/>
                <w:szCs w:val="18"/>
                <w:lang w:eastAsia="it-IT"/>
              </w:rPr>
              <w:t>15.900</w:t>
            </w:r>
          </w:p>
        </w:tc>
        <w:tc>
          <w:tcPr>
            <w:tcW w:w="1275" w:type="dxa"/>
            <w:tcBorders>
              <w:top w:val="single" w:sz="4" w:space="0" w:color="auto"/>
              <w:left w:val="nil"/>
              <w:bottom w:val="single" w:sz="4" w:space="0" w:color="auto"/>
              <w:right w:val="nil"/>
            </w:tcBorders>
            <w:shd w:val="clear" w:color="auto" w:fill="auto"/>
            <w:noWrap/>
            <w:vAlign w:val="center"/>
          </w:tcPr>
          <w:p w14:paraId="709874FC" w14:textId="63ADACB5" w:rsidR="008E0AAE" w:rsidRPr="00EC27FB" w:rsidRDefault="008E0AAE" w:rsidP="00EC27FB">
            <w:pPr>
              <w:spacing w:after="0"/>
              <w:jc w:val="right"/>
              <w:rPr>
                <w:rFonts w:ascii="Arial Narrow" w:hAnsi="Arial Narrow" w:cs="Calibri"/>
                <w:color w:val="000000"/>
                <w:sz w:val="18"/>
                <w:szCs w:val="18"/>
                <w:lang w:eastAsia="it-IT"/>
              </w:rPr>
            </w:pPr>
            <w:r w:rsidRPr="00EC27FB">
              <w:rPr>
                <w:rFonts w:ascii="Arial Narrow" w:hAnsi="Arial Narrow" w:cs="Calibri"/>
                <w:color w:val="000000"/>
                <w:sz w:val="18"/>
                <w:szCs w:val="18"/>
                <w:lang w:eastAsia="it-IT"/>
              </w:rPr>
              <w:t>-224</w:t>
            </w:r>
          </w:p>
        </w:tc>
        <w:tc>
          <w:tcPr>
            <w:tcW w:w="1059" w:type="dxa"/>
            <w:tcBorders>
              <w:top w:val="single" w:sz="4" w:space="0" w:color="auto"/>
              <w:left w:val="nil"/>
              <w:bottom w:val="single" w:sz="4" w:space="0" w:color="auto"/>
              <w:right w:val="nil"/>
            </w:tcBorders>
            <w:shd w:val="clear" w:color="000000" w:fill="D9D9D9"/>
            <w:noWrap/>
            <w:vAlign w:val="center"/>
          </w:tcPr>
          <w:p w14:paraId="23CCE3C8" w14:textId="3BE7E0FD"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color w:val="000000"/>
                <w:sz w:val="18"/>
                <w:szCs w:val="18"/>
                <w:lang w:eastAsia="it-IT"/>
              </w:rPr>
              <w:t>-1,4</w:t>
            </w:r>
          </w:p>
        </w:tc>
      </w:tr>
      <w:tr w:rsidR="0020717C" w:rsidRPr="00A51547" w14:paraId="112E238B" w14:textId="77777777" w:rsidTr="00E138DD">
        <w:trPr>
          <w:trHeight w:val="292"/>
        </w:trPr>
        <w:tc>
          <w:tcPr>
            <w:tcW w:w="4902" w:type="dxa"/>
            <w:gridSpan w:val="4"/>
            <w:tcBorders>
              <w:top w:val="nil"/>
              <w:left w:val="nil"/>
              <w:bottom w:val="single" w:sz="4" w:space="0" w:color="auto"/>
              <w:right w:val="nil"/>
            </w:tcBorders>
            <w:shd w:val="clear" w:color="auto" w:fill="auto"/>
            <w:noWrap/>
            <w:vAlign w:val="center"/>
          </w:tcPr>
          <w:p w14:paraId="0C81162A" w14:textId="77777777" w:rsidR="0020717C" w:rsidRPr="00EC27FB" w:rsidRDefault="0020717C" w:rsidP="00E138DD">
            <w:pPr>
              <w:spacing w:after="0"/>
              <w:rPr>
                <w:rFonts w:ascii="Arial Narrow" w:hAnsi="Arial Narrow" w:cs="Calibri"/>
                <w:i/>
                <w:color w:val="000000"/>
                <w:sz w:val="18"/>
                <w:szCs w:val="18"/>
                <w:lang w:eastAsia="it-IT"/>
              </w:rPr>
            </w:pPr>
            <w:r w:rsidRPr="00EC27FB">
              <w:rPr>
                <w:rFonts w:ascii="Arial Narrow" w:hAnsi="Arial Narrow" w:cs="Calibri"/>
                <w:i/>
                <w:color w:val="000000"/>
                <w:sz w:val="18"/>
                <w:szCs w:val="18"/>
                <w:lang w:eastAsia="it-IT"/>
              </w:rPr>
              <w:t>di cui le principali:</w:t>
            </w:r>
          </w:p>
        </w:tc>
        <w:tc>
          <w:tcPr>
            <w:tcW w:w="580" w:type="dxa"/>
            <w:tcBorders>
              <w:top w:val="nil"/>
              <w:left w:val="nil"/>
              <w:bottom w:val="single" w:sz="4" w:space="0" w:color="auto"/>
              <w:right w:val="nil"/>
            </w:tcBorders>
            <w:shd w:val="clear" w:color="auto" w:fill="auto"/>
            <w:noWrap/>
            <w:vAlign w:val="center"/>
          </w:tcPr>
          <w:p w14:paraId="4F3BFB62" w14:textId="77777777" w:rsidR="0020717C" w:rsidRPr="00EC27FB" w:rsidRDefault="0020717C" w:rsidP="00E138DD">
            <w:pPr>
              <w:spacing w:after="0"/>
              <w:rPr>
                <w:rFonts w:ascii="Arial Narrow" w:hAnsi="Arial Narrow" w:cs="Calibri"/>
                <w:color w:val="000000"/>
                <w:sz w:val="18"/>
                <w:szCs w:val="18"/>
                <w:lang w:eastAsia="it-IT"/>
              </w:rPr>
            </w:pPr>
          </w:p>
        </w:tc>
        <w:tc>
          <w:tcPr>
            <w:tcW w:w="1763" w:type="dxa"/>
            <w:tcBorders>
              <w:top w:val="nil"/>
              <w:left w:val="nil"/>
              <w:bottom w:val="single" w:sz="4" w:space="0" w:color="auto"/>
              <w:right w:val="nil"/>
            </w:tcBorders>
            <w:shd w:val="clear" w:color="000000" w:fill="D9D9D9"/>
            <w:noWrap/>
            <w:vAlign w:val="center"/>
          </w:tcPr>
          <w:p w14:paraId="4B27CC4C" w14:textId="77777777" w:rsidR="0020717C" w:rsidRPr="00EC27FB" w:rsidRDefault="0020717C" w:rsidP="00E138DD">
            <w:pPr>
              <w:spacing w:after="0"/>
              <w:jc w:val="right"/>
              <w:rPr>
                <w:rFonts w:ascii="Arial Narrow" w:hAnsi="Arial Narrow" w:cs="Calibri"/>
                <w:color w:val="000000"/>
                <w:sz w:val="18"/>
                <w:szCs w:val="18"/>
                <w:lang w:eastAsia="it-IT"/>
              </w:rPr>
            </w:pPr>
          </w:p>
        </w:tc>
        <w:tc>
          <w:tcPr>
            <w:tcW w:w="1275" w:type="dxa"/>
            <w:tcBorders>
              <w:top w:val="nil"/>
              <w:left w:val="nil"/>
              <w:bottom w:val="single" w:sz="4" w:space="0" w:color="auto"/>
              <w:right w:val="nil"/>
            </w:tcBorders>
            <w:shd w:val="clear" w:color="auto" w:fill="auto"/>
            <w:noWrap/>
            <w:vAlign w:val="center"/>
          </w:tcPr>
          <w:p w14:paraId="50D55673" w14:textId="77777777" w:rsidR="0020717C" w:rsidRPr="00EC27FB" w:rsidRDefault="0020717C" w:rsidP="00EC27FB">
            <w:pPr>
              <w:spacing w:after="0"/>
              <w:jc w:val="right"/>
              <w:rPr>
                <w:rFonts w:ascii="Arial Narrow" w:hAnsi="Arial Narrow" w:cs="Calibri"/>
                <w:color w:val="000000"/>
                <w:sz w:val="18"/>
                <w:szCs w:val="18"/>
                <w:lang w:eastAsia="it-IT"/>
              </w:rPr>
            </w:pPr>
          </w:p>
        </w:tc>
        <w:tc>
          <w:tcPr>
            <w:tcW w:w="1059" w:type="dxa"/>
            <w:tcBorders>
              <w:top w:val="nil"/>
              <w:left w:val="nil"/>
              <w:bottom w:val="single" w:sz="4" w:space="0" w:color="auto"/>
              <w:right w:val="nil"/>
            </w:tcBorders>
            <w:shd w:val="clear" w:color="000000" w:fill="D9D9D9"/>
            <w:noWrap/>
            <w:vAlign w:val="center"/>
          </w:tcPr>
          <w:p w14:paraId="236267A0" w14:textId="77777777" w:rsidR="0020717C" w:rsidRPr="00EC27FB" w:rsidRDefault="0020717C" w:rsidP="00E138DD">
            <w:pPr>
              <w:spacing w:after="0"/>
              <w:jc w:val="right"/>
              <w:rPr>
                <w:rFonts w:ascii="Arial Narrow" w:hAnsi="Arial Narrow" w:cs="Calibri"/>
                <w:color w:val="000000"/>
                <w:sz w:val="18"/>
                <w:szCs w:val="18"/>
                <w:lang w:eastAsia="it-IT"/>
              </w:rPr>
            </w:pPr>
          </w:p>
        </w:tc>
      </w:tr>
      <w:tr w:rsidR="008E0AAE" w:rsidRPr="00A51547" w14:paraId="394F3BE9" w14:textId="77777777" w:rsidTr="00E138DD">
        <w:trPr>
          <w:trHeight w:val="300"/>
        </w:trPr>
        <w:tc>
          <w:tcPr>
            <w:tcW w:w="581" w:type="dxa"/>
            <w:tcBorders>
              <w:top w:val="single" w:sz="4" w:space="0" w:color="auto"/>
              <w:left w:val="nil"/>
              <w:bottom w:val="single" w:sz="4" w:space="0" w:color="auto"/>
              <w:right w:val="nil"/>
            </w:tcBorders>
            <w:shd w:val="clear" w:color="auto" w:fill="auto"/>
            <w:noWrap/>
            <w:vAlign w:val="bottom"/>
            <w:hideMark/>
          </w:tcPr>
          <w:p w14:paraId="32164ABD"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3741" w:type="dxa"/>
            <w:gridSpan w:val="2"/>
            <w:tcBorders>
              <w:top w:val="single" w:sz="4" w:space="0" w:color="auto"/>
              <w:left w:val="nil"/>
              <w:bottom w:val="single" w:sz="4" w:space="0" w:color="auto"/>
              <w:right w:val="nil"/>
            </w:tcBorders>
            <w:shd w:val="clear" w:color="auto" w:fill="auto"/>
            <w:noWrap/>
            <w:vAlign w:val="center"/>
          </w:tcPr>
          <w:p w14:paraId="1C3DF3D4" w14:textId="77777777" w:rsidR="008E0AAE" w:rsidRPr="00EC27FB" w:rsidRDefault="008E0AAE" w:rsidP="008E0AAE">
            <w:pPr>
              <w:spacing w:after="0"/>
              <w:rPr>
                <w:rFonts w:ascii="Arial Narrow" w:hAnsi="Arial Narrow" w:cs="Calibri"/>
                <w:i/>
                <w:color w:val="000000"/>
                <w:sz w:val="18"/>
                <w:szCs w:val="18"/>
                <w:lang w:eastAsia="it-IT"/>
              </w:rPr>
            </w:pPr>
            <w:r w:rsidRPr="00EC27FB">
              <w:rPr>
                <w:rFonts w:ascii="Arial Narrow" w:hAnsi="Arial Narrow" w:cs="Calibri"/>
                <w:i/>
                <w:color w:val="000000"/>
                <w:sz w:val="18"/>
                <w:szCs w:val="18"/>
                <w:lang w:eastAsia="it-IT"/>
              </w:rPr>
              <w:t xml:space="preserve">Malattie del sistema osteomuscolare e del tessuto connettivo </w:t>
            </w:r>
          </w:p>
        </w:tc>
        <w:tc>
          <w:tcPr>
            <w:tcW w:w="580" w:type="dxa"/>
            <w:tcBorders>
              <w:top w:val="single" w:sz="4" w:space="0" w:color="auto"/>
              <w:left w:val="nil"/>
              <w:bottom w:val="single" w:sz="4" w:space="0" w:color="auto"/>
              <w:right w:val="nil"/>
            </w:tcBorders>
            <w:shd w:val="clear" w:color="auto" w:fill="auto"/>
            <w:noWrap/>
            <w:vAlign w:val="bottom"/>
            <w:hideMark/>
          </w:tcPr>
          <w:p w14:paraId="0FBFC437"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hideMark/>
          </w:tcPr>
          <w:p w14:paraId="4AD72E4C"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1763" w:type="dxa"/>
            <w:tcBorders>
              <w:top w:val="single" w:sz="4" w:space="0" w:color="auto"/>
              <w:left w:val="nil"/>
              <w:bottom w:val="single" w:sz="4" w:space="0" w:color="auto"/>
              <w:right w:val="nil"/>
            </w:tcBorders>
            <w:shd w:val="clear" w:color="000000" w:fill="D9D9D9"/>
            <w:noWrap/>
            <w:vAlign w:val="center"/>
          </w:tcPr>
          <w:p w14:paraId="3C17FBEA" w14:textId="505D4124"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8.286</w:t>
            </w:r>
          </w:p>
        </w:tc>
        <w:tc>
          <w:tcPr>
            <w:tcW w:w="1275" w:type="dxa"/>
            <w:tcBorders>
              <w:top w:val="single" w:sz="4" w:space="0" w:color="auto"/>
              <w:left w:val="nil"/>
              <w:bottom w:val="single" w:sz="4" w:space="0" w:color="auto"/>
              <w:right w:val="nil"/>
            </w:tcBorders>
            <w:shd w:val="clear" w:color="auto" w:fill="auto"/>
            <w:noWrap/>
            <w:vAlign w:val="center"/>
          </w:tcPr>
          <w:p w14:paraId="7F2825D5" w14:textId="1733D84E" w:rsidR="008E0AAE" w:rsidRPr="00EC27FB" w:rsidRDefault="008E0AAE" w:rsidP="00EC27FB">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134</w:t>
            </w:r>
          </w:p>
        </w:tc>
        <w:tc>
          <w:tcPr>
            <w:tcW w:w="1059" w:type="dxa"/>
            <w:tcBorders>
              <w:top w:val="single" w:sz="4" w:space="0" w:color="auto"/>
              <w:left w:val="nil"/>
              <w:bottom w:val="single" w:sz="4" w:space="0" w:color="auto"/>
              <w:right w:val="nil"/>
            </w:tcBorders>
            <w:shd w:val="clear" w:color="000000" w:fill="D9D9D9"/>
            <w:noWrap/>
            <w:vAlign w:val="center"/>
          </w:tcPr>
          <w:p w14:paraId="424056D0" w14:textId="39117EC9"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1,6</w:t>
            </w:r>
          </w:p>
        </w:tc>
      </w:tr>
      <w:tr w:rsidR="008E0AAE" w:rsidRPr="00A51547" w14:paraId="2395AE00" w14:textId="77777777" w:rsidTr="00E138DD">
        <w:trPr>
          <w:trHeight w:val="300"/>
        </w:trPr>
        <w:tc>
          <w:tcPr>
            <w:tcW w:w="581" w:type="dxa"/>
            <w:tcBorders>
              <w:top w:val="single" w:sz="4" w:space="0" w:color="auto"/>
              <w:left w:val="nil"/>
              <w:bottom w:val="single" w:sz="4" w:space="0" w:color="auto"/>
              <w:right w:val="nil"/>
            </w:tcBorders>
            <w:shd w:val="clear" w:color="auto" w:fill="auto"/>
            <w:noWrap/>
            <w:vAlign w:val="bottom"/>
            <w:hideMark/>
          </w:tcPr>
          <w:p w14:paraId="2FBA2506"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3161" w:type="dxa"/>
            <w:tcBorders>
              <w:top w:val="single" w:sz="4" w:space="0" w:color="auto"/>
              <w:left w:val="nil"/>
              <w:bottom w:val="single" w:sz="4" w:space="0" w:color="auto"/>
              <w:right w:val="nil"/>
            </w:tcBorders>
            <w:shd w:val="clear" w:color="auto" w:fill="auto"/>
            <w:noWrap/>
            <w:vAlign w:val="center"/>
          </w:tcPr>
          <w:p w14:paraId="132B26AF" w14:textId="77777777" w:rsidR="008E0AAE" w:rsidRPr="00EC27FB" w:rsidRDefault="008E0AAE" w:rsidP="008E0AAE">
            <w:pPr>
              <w:spacing w:after="0"/>
              <w:rPr>
                <w:rFonts w:ascii="Arial Narrow" w:hAnsi="Arial Narrow" w:cs="Calibri"/>
                <w:i/>
                <w:color w:val="000000"/>
                <w:sz w:val="18"/>
                <w:szCs w:val="18"/>
                <w:lang w:eastAsia="it-IT"/>
              </w:rPr>
            </w:pPr>
            <w:r w:rsidRPr="00EC27FB">
              <w:rPr>
                <w:rFonts w:ascii="Arial Narrow" w:hAnsi="Arial Narrow" w:cs="Calibri"/>
                <w:i/>
                <w:color w:val="000000"/>
                <w:sz w:val="18"/>
                <w:szCs w:val="18"/>
                <w:lang w:eastAsia="it-IT"/>
              </w:rPr>
              <w:t xml:space="preserve">Malattie del sistema nervoso </w:t>
            </w:r>
          </w:p>
        </w:tc>
        <w:tc>
          <w:tcPr>
            <w:tcW w:w="580" w:type="dxa"/>
            <w:tcBorders>
              <w:top w:val="single" w:sz="4" w:space="0" w:color="auto"/>
              <w:left w:val="nil"/>
              <w:bottom w:val="single" w:sz="4" w:space="0" w:color="auto"/>
              <w:right w:val="nil"/>
            </w:tcBorders>
            <w:shd w:val="clear" w:color="auto" w:fill="auto"/>
            <w:noWrap/>
            <w:vAlign w:val="bottom"/>
            <w:hideMark/>
          </w:tcPr>
          <w:p w14:paraId="7977B055"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hideMark/>
          </w:tcPr>
          <w:p w14:paraId="7FB4A5E2"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hideMark/>
          </w:tcPr>
          <w:p w14:paraId="504CDCCA"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1763" w:type="dxa"/>
            <w:tcBorders>
              <w:top w:val="single" w:sz="4" w:space="0" w:color="auto"/>
              <w:left w:val="nil"/>
              <w:bottom w:val="single" w:sz="4" w:space="0" w:color="auto"/>
              <w:right w:val="nil"/>
            </w:tcBorders>
            <w:shd w:val="clear" w:color="000000" w:fill="D9D9D9"/>
            <w:noWrap/>
            <w:vAlign w:val="center"/>
          </w:tcPr>
          <w:p w14:paraId="2FBF1DCE" w14:textId="0F613E2F"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1.520</w:t>
            </w:r>
          </w:p>
        </w:tc>
        <w:tc>
          <w:tcPr>
            <w:tcW w:w="1275" w:type="dxa"/>
            <w:tcBorders>
              <w:top w:val="single" w:sz="4" w:space="0" w:color="auto"/>
              <w:left w:val="nil"/>
              <w:bottom w:val="single" w:sz="4" w:space="0" w:color="auto"/>
              <w:right w:val="nil"/>
            </w:tcBorders>
            <w:shd w:val="clear" w:color="auto" w:fill="auto"/>
            <w:noWrap/>
            <w:vAlign w:val="center"/>
          </w:tcPr>
          <w:p w14:paraId="51E73B4E" w14:textId="0347DCDE" w:rsidR="008E0AAE" w:rsidRPr="00EC27FB" w:rsidRDefault="008E0AAE" w:rsidP="00EC27FB">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-193</w:t>
            </w:r>
          </w:p>
        </w:tc>
        <w:tc>
          <w:tcPr>
            <w:tcW w:w="1059" w:type="dxa"/>
            <w:tcBorders>
              <w:top w:val="single" w:sz="4" w:space="0" w:color="auto"/>
              <w:left w:val="nil"/>
              <w:bottom w:val="single" w:sz="4" w:space="0" w:color="auto"/>
              <w:right w:val="nil"/>
            </w:tcBorders>
            <w:shd w:val="clear" w:color="000000" w:fill="D9D9D9"/>
            <w:noWrap/>
            <w:vAlign w:val="center"/>
          </w:tcPr>
          <w:p w14:paraId="2EDB0683" w14:textId="12DC8C42"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-11,3</w:t>
            </w:r>
          </w:p>
        </w:tc>
      </w:tr>
      <w:tr w:rsidR="008E0AAE" w:rsidRPr="00A51547" w14:paraId="4E651863" w14:textId="77777777" w:rsidTr="00E138DD">
        <w:trPr>
          <w:trHeight w:val="300"/>
        </w:trPr>
        <w:tc>
          <w:tcPr>
            <w:tcW w:w="581" w:type="dxa"/>
            <w:tcBorders>
              <w:top w:val="single" w:sz="4" w:space="0" w:color="auto"/>
              <w:left w:val="nil"/>
              <w:bottom w:val="single" w:sz="4" w:space="0" w:color="auto"/>
              <w:right w:val="nil"/>
            </w:tcBorders>
            <w:shd w:val="clear" w:color="auto" w:fill="auto"/>
            <w:noWrap/>
            <w:vAlign w:val="bottom"/>
          </w:tcPr>
          <w:p w14:paraId="40410ABF"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3161" w:type="dxa"/>
            <w:tcBorders>
              <w:top w:val="single" w:sz="4" w:space="0" w:color="auto"/>
              <w:left w:val="nil"/>
              <w:bottom w:val="single" w:sz="4" w:space="0" w:color="auto"/>
              <w:right w:val="nil"/>
            </w:tcBorders>
            <w:shd w:val="clear" w:color="auto" w:fill="auto"/>
            <w:noWrap/>
            <w:vAlign w:val="center"/>
          </w:tcPr>
          <w:p w14:paraId="1A460593" w14:textId="77777777" w:rsidR="008E0AAE" w:rsidRPr="00EC27FB" w:rsidRDefault="008E0AAE" w:rsidP="008E0AAE">
            <w:pPr>
              <w:spacing w:after="0"/>
              <w:rPr>
                <w:rFonts w:ascii="Arial Narrow" w:hAnsi="Arial Narrow" w:cs="Calibri"/>
                <w:i/>
                <w:color w:val="000000"/>
                <w:sz w:val="18"/>
                <w:szCs w:val="18"/>
                <w:lang w:eastAsia="it-IT"/>
              </w:rPr>
            </w:pPr>
            <w:r w:rsidRPr="00EC27FB">
              <w:rPr>
                <w:rFonts w:ascii="Arial Narrow" w:hAnsi="Arial Narrow" w:cs="Calibri"/>
                <w:i/>
                <w:color w:val="000000"/>
                <w:sz w:val="18"/>
                <w:szCs w:val="18"/>
                <w:lang w:eastAsia="it-IT"/>
              </w:rPr>
              <w:t xml:space="preserve">Malattie dell’orecchio e dell’apofisi mastoide </w:t>
            </w:r>
          </w:p>
        </w:tc>
        <w:tc>
          <w:tcPr>
            <w:tcW w:w="580" w:type="dxa"/>
            <w:tcBorders>
              <w:top w:val="single" w:sz="4" w:space="0" w:color="auto"/>
              <w:left w:val="nil"/>
              <w:bottom w:val="single" w:sz="4" w:space="0" w:color="auto"/>
              <w:right w:val="nil"/>
            </w:tcBorders>
            <w:shd w:val="clear" w:color="auto" w:fill="auto"/>
            <w:noWrap/>
            <w:vAlign w:val="bottom"/>
          </w:tcPr>
          <w:p w14:paraId="0B50971F"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tcPr>
          <w:p w14:paraId="2DC23503"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tcPr>
          <w:p w14:paraId="0E788923"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1763" w:type="dxa"/>
            <w:tcBorders>
              <w:top w:val="single" w:sz="4" w:space="0" w:color="auto"/>
              <w:left w:val="nil"/>
              <w:bottom w:val="single" w:sz="4" w:space="0" w:color="auto"/>
              <w:right w:val="nil"/>
            </w:tcBorders>
            <w:shd w:val="clear" w:color="000000" w:fill="D9D9D9"/>
            <w:noWrap/>
            <w:vAlign w:val="center"/>
          </w:tcPr>
          <w:p w14:paraId="4131BD69" w14:textId="658D606E"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986</w:t>
            </w:r>
          </w:p>
        </w:tc>
        <w:tc>
          <w:tcPr>
            <w:tcW w:w="1275" w:type="dxa"/>
            <w:tcBorders>
              <w:top w:val="single" w:sz="4" w:space="0" w:color="auto"/>
              <w:left w:val="nil"/>
              <w:bottom w:val="single" w:sz="4" w:space="0" w:color="auto"/>
              <w:right w:val="nil"/>
            </w:tcBorders>
            <w:shd w:val="clear" w:color="auto" w:fill="auto"/>
            <w:noWrap/>
            <w:vAlign w:val="center"/>
          </w:tcPr>
          <w:p w14:paraId="2C3C39BD" w14:textId="0BBF063C" w:rsidR="008E0AAE" w:rsidRPr="00EC27FB" w:rsidRDefault="008E0AAE" w:rsidP="00EC27FB">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-121</w:t>
            </w:r>
          </w:p>
        </w:tc>
        <w:tc>
          <w:tcPr>
            <w:tcW w:w="1059" w:type="dxa"/>
            <w:tcBorders>
              <w:top w:val="single" w:sz="4" w:space="0" w:color="auto"/>
              <w:left w:val="nil"/>
              <w:bottom w:val="single" w:sz="4" w:space="0" w:color="auto"/>
              <w:right w:val="nil"/>
            </w:tcBorders>
            <w:shd w:val="clear" w:color="000000" w:fill="D9D9D9"/>
            <w:noWrap/>
            <w:vAlign w:val="center"/>
          </w:tcPr>
          <w:p w14:paraId="1D7FE446" w14:textId="641E584F"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-10,9</w:t>
            </w:r>
          </w:p>
        </w:tc>
      </w:tr>
      <w:tr w:rsidR="008E0AAE" w:rsidRPr="00A51547" w14:paraId="678F2590" w14:textId="77777777" w:rsidTr="00E138DD">
        <w:trPr>
          <w:trHeight w:val="300"/>
        </w:trPr>
        <w:tc>
          <w:tcPr>
            <w:tcW w:w="581" w:type="dxa"/>
            <w:tcBorders>
              <w:top w:val="single" w:sz="4" w:space="0" w:color="auto"/>
              <w:left w:val="nil"/>
              <w:bottom w:val="single" w:sz="4" w:space="0" w:color="auto"/>
              <w:right w:val="nil"/>
            </w:tcBorders>
            <w:shd w:val="clear" w:color="auto" w:fill="auto"/>
            <w:noWrap/>
            <w:vAlign w:val="bottom"/>
          </w:tcPr>
          <w:p w14:paraId="17656855"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3161" w:type="dxa"/>
            <w:tcBorders>
              <w:top w:val="single" w:sz="4" w:space="0" w:color="auto"/>
              <w:left w:val="nil"/>
              <w:bottom w:val="single" w:sz="4" w:space="0" w:color="auto"/>
              <w:right w:val="nil"/>
            </w:tcBorders>
            <w:shd w:val="clear" w:color="auto" w:fill="auto"/>
            <w:noWrap/>
            <w:vAlign w:val="center"/>
          </w:tcPr>
          <w:p w14:paraId="28603A9B" w14:textId="77777777" w:rsidR="008E0AAE" w:rsidRPr="00EC27FB" w:rsidRDefault="008E0AAE" w:rsidP="008E0AAE">
            <w:pPr>
              <w:spacing w:after="0"/>
              <w:rPr>
                <w:rFonts w:ascii="Arial Narrow" w:hAnsi="Arial Narrow" w:cs="Calibri"/>
                <w:i/>
                <w:color w:val="000000"/>
                <w:sz w:val="18"/>
                <w:szCs w:val="18"/>
                <w:lang w:eastAsia="it-IT"/>
              </w:rPr>
            </w:pPr>
            <w:r w:rsidRPr="00EC27FB">
              <w:rPr>
                <w:rFonts w:ascii="Arial Narrow" w:hAnsi="Arial Narrow" w:cs="Calibri"/>
                <w:i/>
                <w:color w:val="000000"/>
                <w:sz w:val="18"/>
                <w:szCs w:val="18"/>
                <w:lang w:eastAsia="it-IT"/>
              </w:rPr>
              <w:t xml:space="preserve">Tumori </w:t>
            </w:r>
          </w:p>
        </w:tc>
        <w:tc>
          <w:tcPr>
            <w:tcW w:w="580" w:type="dxa"/>
            <w:tcBorders>
              <w:top w:val="single" w:sz="4" w:space="0" w:color="auto"/>
              <w:left w:val="nil"/>
              <w:bottom w:val="single" w:sz="4" w:space="0" w:color="auto"/>
              <w:right w:val="nil"/>
            </w:tcBorders>
            <w:shd w:val="clear" w:color="auto" w:fill="auto"/>
            <w:noWrap/>
            <w:vAlign w:val="bottom"/>
          </w:tcPr>
          <w:p w14:paraId="0EB508DB"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tcPr>
          <w:p w14:paraId="5221640B"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tcPr>
          <w:p w14:paraId="6607D375"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1763" w:type="dxa"/>
            <w:tcBorders>
              <w:top w:val="single" w:sz="4" w:space="0" w:color="auto"/>
              <w:left w:val="nil"/>
              <w:bottom w:val="single" w:sz="4" w:space="0" w:color="auto"/>
              <w:right w:val="nil"/>
            </w:tcBorders>
            <w:shd w:val="clear" w:color="000000" w:fill="D9D9D9"/>
            <w:noWrap/>
            <w:vAlign w:val="center"/>
          </w:tcPr>
          <w:p w14:paraId="55482B0F" w14:textId="48D93E3C"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578</w:t>
            </w:r>
          </w:p>
        </w:tc>
        <w:tc>
          <w:tcPr>
            <w:tcW w:w="1275" w:type="dxa"/>
            <w:tcBorders>
              <w:top w:val="single" w:sz="4" w:space="0" w:color="auto"/>
              <w:left w:val="nil"/>
              <w:bottom w:val="single" w:sz="4" w:space="0" w:color="auto"/>
              <w:right w:val="nil"/>
            </w:tcBorders>
            <w:shd w:val="clear" w:color="auto" w:fill="auto"/>
            <w:noWrap/>
            <w:vAlign w:val="center"/>
          </w:tcPr>
          <w:p w14:paraId="4CA8CC72" w14:textId="078F854E" w:rsidR="008E0AAE" w:rsidRPr="00EC27FB" w:rsidRDefault="008E0AAE" w:rsidP="00EC27FB">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11</w:t>
            </w:r>
          </w:p>
        </w:tc>
        <w:tc>
          <w:tcPr>
            <w:tcW w:w="1059" w:type="dxa"/>
            <w:tcBorders>
              <w:top w:val="single" w:sz="4" w:space="0" w:color="auto"/>
              <w:left w:val="nil"/>
              <w:bottom w:val="single" w:sz="4" w:space="0" w:color="auto"/>
              <w:right w:val="nil"/>
            </w:tcBorders>
            <w:shd w:val="clear" w:color="000000" w:fill="D9D9D9"/>
            <w:noWrap/>
            <w:vAlign w:val="center"/>
          </w:tcPr>
          <w:p w14:paraId="02B7FDC5" w14:textId="30AEABD7"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1,9</w:t>
            </w:r>
          </w:p>
        </w:tc>
      </w:tr>
      <w:tr w:rsidR="008E0AAE" w:rsidRPr="00A51547" w14:paraId="412D2617" w14:textId="77777777" w:rsidTr="00E138DD">
        <w:trPr>
          <w:trHeight w:val="300"/>
        </w:trPr>
        <w:tc>
          <w:tcPr>
            <w:tcW w:w="581" w:type="dxa"/>
            <w:tcBorders>
              <w:top w:val="single" w:sz="4" w:space="0" w:color="auto"/>
              <w:left w:val="nil"/>
              <w:bottom w:val="single" w:sz="4" w:space="0" w:color="auto"/>
              <w:right w:val="nil"/>
            </w:tcBorders>
            <w:shd w:val="clear" w:color="auto" w:fill="auto"/>
            <w:noWrap/>
            <w:vAlign w:val="bottom"/>
          </w:tcPr>
          <w:p w14:paraId="79A0EB97"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3161" w:type="dxa"/>
            <w:tcBorders>
              <w:top w:val="single" w:sz="4" w:space="0" w:color="auto"/>
              <w:left w:val="nil"/>
              <w:bottom w:val="single" w:sz="4" w:space="0" w:color="auto"/>
              <w:right w:val="nil"/>
            </w:tcBorders>
            <w:shd w:val="clear" w:color="auto" w:fill="auto"/>
            <w:noWrap/>
            <w:vAlign w:val="center"/>
          </w:tcPr>
          <w:p w14:paraId="2D7AEE60" w14:textId="77777777" w:rsidR="008E0AAE" w:rsidRPr="00EC27FB" w:rsidRDefault="008E0AAE" w:rsidP="008E0AAE">
            <w:pPr>
              <w:spacing w:after="0"/>
              <w:rPr>
                <w:rFonts w:ascii="Arial Narrow" w:hAnsi="Arial Narrow" w:cs="Calibri"/>
                <w:i/>
                <w:color w:val="000000"/>
                <w:sz w:val="18"/>
                <w:szCs w:val="18"/>
                <w:lang w:eastAsia="it-IT"/>
              </w:rPr>
            </w:pPr>
            <w:r w:rsidRPr="00EC27FB">
              <w:rPr>
                <w:rFonts w:ascii="Arial Narrow" w:hAnsi="Arial Narrow" w:cs="Calibri"/>
                <w:i/>
                <w:color w:val="000000"/>
                <w:sz w:val="18"/>
                <w:szCs w:val="18"/>
                <w:lang w:eastAsia="it-IT"/>
              </w:rPr>
              <w:t>Malattie del sistema respiratorio</w:t>
            </w:r>
            <w:r w:rsidRPr="00EC27FB" w:rsidDel="002826B8">
              <w:rPr>
                <w:rFonts w:ascii="Arial Narrow" w:hAnsi="Arial Narrow" w:cs="Calibri"/>
                <w:i/>
                <w:color w:val="000000"/>
                <w:sz w:val="18"/>
                <w:szCs w:val="18"/>
                <w:lang w:eastAsia="it-IT"/>
              </w:rPr>
              <w:t xml:space="preserve"> </w:t>
            </w:r>
          </w:p>
        </w:tc>
        <w:tc>
          <w:tcPr>
            <w:tcW w:w="580" w:type="dxa"/>
            <w:tcBorders>
              <w:top w:val="single" w:sz="4" w:space="0" w:color="auto"/>
              <w:left w:val="nil"/>
              <w:bottom w:val="single" w:sz="4" w:space="0" w:color="auto"/>
              <w:right w:val="nil"/>
            </w:tcBorders>
            <w:shd w:val="clear" w:color="auto" w:fill="auto"/>
            <w:noWrap/>
            <w:vAlign w:val="bottom"/>
          </w:tcPr>
          <w:p w14:paraId="6017AFB7"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tcPr>
          <w:p w14:paraId="07BCED54"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580" w:type="dxa"/>
            <w:tcBorders>
              <w:top w:val="single" w:sz="4" w:space="0" w:color="auto"/>
              <w:left w:val="nil"/>
              <w:bottom w:val="single" w:sz="4" w:space="0" w:color="auto"/>
              <w:right w:val="nil"/>
            </w:tcBorders>
            <w:shd w:val="clear" w:color="auto" w:fill="auto"/>
            <w:noWrap/>
            <w:vAlign w:val="bottom"/>
          </w:tcPr>
          <w:p w14:paraId="75E96DEE" w14:textId="77777777" w:rsidR="008E0AAE" w:rsidRPr="00EC27FB" w:rsidRDefault="008E0AAE" w:rsidP="008E0AAE">
            <w:pPr>
              <w:spacing w:after="0"/>
              <w:jc w:val="left"/>
              <w:rPr>
                <w:rFonts w:ascii="Arial Narrow" w:hAnsi="Arial Narrow" w:cs="Calibri"/>
                <w:color w:val="000000"/>
                <w:sz w:val="18"/>
                <w:szCs w:val="18"/>
                <w:lang w:eastAsia="it-IT"/>
              </w:rPr>
            </w:pPr>
          </w:p>
        </w:tc>
        <w:tc>
          <w:tcPr>
            <w:tcW w:w="1763" w:type="dxa"/>
            <w:tcBorders>
              <w:top w:val="single" w:sz="4" w:space="0" w:color="auto"/>
              <w:left w:val="nil"/>
              <w:bottom w:val="single" w:sz="4" w:space="0" w:color="auto"/>
              <w:right w:val="nil"/>
            </w:tcBorders>
            <w:shd w:val="clear" w:color="000000" w:fill="D9D9D9"/>
            <w:noWrap/>
            <w:vAlign w:val="center"/>
          </w:tcPr>
          <w:p w14:paraId="172B2911" w14:textId="6C4E9309"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577</w:t>
            </w:r>
          </w:p>
        </w:tc>
        <w:tc>
          <w:tcPr>
            <w:tcW w:w="1275" w:type="dxa"/>
            <w:tcBorders>
              <w:top w:val="single" w:sz="4" w:space="0" w:color="auto"/>
              <w:left w:val="nil"/>
              <w:bottom w:val="single" w:sz="4" w:space="0" w:color="auto"/>
              <w:right w:val="nil"/>
            </w:tcBorders>
            <w:shd w:val="clear" w:color="auto" w:fill="auto"/>
            <w:noWrap/>
            <w:vAlign w:val="center"/>
          </w:tcPr>
          <w:p w14:paraId="6DD33056" w14:textId="44EFAB50" w:rsidR="008E0AAE" w:rsidRPr="00EC27FB" w:rsidRDefault="008E0AAE" w:rsidP="00EC27FB">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-38</w:t>
            </w:r>
          </w:p>
        </w:tc>
        <w:tc>
          <w:tcPr>
            <w:tcW w:w="1059" w:type="dxa"/>
            <w:tcBorders>
              <w:top w:val="single" w:sz="4" w:space="0" w:color="auto"/>
              <w:left w:val="nil"/>
              <w:bottom w:val="single" w:sz="4" w:space="0" w:color="auto"/>
              <w:right w:val="nil"/>
            </w:tcBorders>
            <w:shd w:val="clear" w:color="000000" w:fill="D9D9D9"/>
            <w:noWrap/>
            <w:vAlign w:val="center"/>
          </w:tcPr>
          <w:p w14:paraId="59F2582A" w14:textId="4B7938AA" w:rsidR="008E0AAE" w:rsidRPr="00EC27FB" w:rsidRDefault="008E0AAE" w:rsidP="008E0AAE">
            <w:pPr>
              <w:spacing w:after="0"/>
              <w:jc w:val="right"/>
              <w:rPr>
                <w:rFonts w:ascii="Arial Narrow" w:hAnsi="Arial Narrow" w:cs="Calibri"/>
                <w:color w:val="000000"/>
                <w:sz w:val="18"/>
                <w:szCs w:val="18"/>
                <w:lang w:eastAsia="it-IT"/>
              </w:rPr>
            </w:pPr>
            <w:r w:rsidRPr="00EC27FB">
              <w:rPr>
                <w:rFonts w:ascii="Arial Narrow" w:hAnsi="Arial Narrow" w:cs="Calibri"/>
                <w:iCs/>
                <w:color w:val="000000"/>
                <w:sz w:val="18"/>
                <w:szCs w:val="18"/>
                <w:lang w:eastAsia="it-IT"/>
              </w:rPr>
              <w:t>-6,2</w:t>
            </w:r>
          </w:p>
        </w:tc>
      </w:tr>
    </w:tbl>
    <w:p w14:paraId="7C1B0A3B" w14:textId="77777777" w:rsidR="0020717C" w:rsidRPr="00A4252C" w:rsidRDefault="0020717C" w:rsidP="0020717C">
      <w:pPr>
        <w:pStyle w:val="titoletto"/>
        <w:spacing w:before="60" w:after="40"/>
        <w:rPr>
          <w:rFonts w:ascii="Arial Narrow" w:hAnsi="Arial Narrow" w:cs="Times New Roman"/>
          <w:b w:val="0"/>
          <w:bCs w:val="0"/>
          <w:i/>
          <w:iCs/>
          <w:color w:val="000000"/>
          <w:sz w:val="15"/>
          <w:szCs w:val="15"/>
          <w:lang w:eastAsia="it-IT"/>
        </w:rPr>
      </w:pPr>
      <w:r w:rsidRPr="00A51547">
        <w:rPr>
          <w:rFonts w:ascii="Arial Narrow" w:hAnsi="Arial Narrow" w:cs="Times New Roman"/>
          <w:b w:val="0"/>
          <w:bCs w:val="0"/>
          <w:i/>
          <w:iCs/>
          <w:color w:val="000000"/>
          <w:sz w:val="15"/>
          <w:szCs w:val="15"/>
          <w:lang w:eastAsia="it-IT"/>
        </w:rPr>
        <w:t>Fonte: Inail, Open data mensili</w:t>
      </w:r>
      <w:r w:rsidRPr="00A4252C">
        <w:rPr>
          <w:rFonts w:ascii="Arial Narrow" w:hAnsi="Arial Narrow" w:cs="Times New Roman"/>
          <w:b w:val="0"/>
          <w:bCs w:val="0"/>
          <w:i/>
          <w:iCs/>
          <w:color w:val="000000"/>
          <w:sz w:val="15"/>
          <w:szCs w:val="15"/>
          <w:lang w:eastAsia="it-IT"/>
        </w:rPr>
        <w:t xml:space="preserve"> </w:t>
      </w:r>
    </w:p>
    <w:p w14:paraId="389B07C8" w14:textId="34647D62" w:rsidR="0020717C" w:rsidRDefault="0020717C">
      <w:pPr>
        <w:spacing w:after="0"/>
        <w:jc w:val="left"/>
        <w:rPr>
          <w:rFonts w:cs="Arial"/>
          <w:b/>
          <w:caps/>
          <w:color w:val="17365D"/>
          <w:sz w:val="24"/>
          <w:szCs w:val="24"/>
        </w:rPr>
      </w:pPr>
      <w:r>
        <w:rPr>
          <w:rFonts w:cs="Arial"/>
          <w:b/>
          <w:caps/>
          <w:color w:val="17365D"/>
          <w:sz w:val="24"/>
          <w:szCs w:val="24"/>
        </w:rPr>
        <w:br w:type="page"/>
      </w:r>
    </w:p>
    <w:p w14:paraId="0E2AED80" w14:textId="77777777" w:rsidR="00CF1B26" w:rsidRPr="00A4252C" w:rsidRDefault="00CF1B26" w:rsidP="00B251AA">
      <w:pPr>
        <w:pStyle w:val="Testocommento"/>
        <w:rPr>
          <w:rFonts w:cs="Arial"/>
          <w:b/>
          <w:caps/>
          <w:color w:val="17365D"/>
          <w:sz w:val="24"/>
          <w:szCs w:val="24"/>
        </w:rPr>
      </w:pPr>
    </w:p>
    <w:p w14:paraId="35368EA9" w14:textId="77777777" w:rsidR="004176C3" w:rsidRPr="00A4252C" w:rsidRDefault="004176C3" w:rsidP="00CD5ED5">
      <w:pPr>
        <w:spacing w:after="200" w:line="276" w:lineRule="auto"/>
        <w:jc w:val="left"/>
        <w:rPr>
          <w:rFonts w:cs="Arial"/>
          <w:caps/>
          <w:color w:val="17365D"/>
          <w:sz w:val="24"/>
          <w:szCs w:val="24"/>
        </w:rPr>
      </w:pPr>
      <w:r w:rsidRPr="00A4252C">
        <w:rPr>
          <w:rFonts w:cs="Arial"/>
          <w:b/>
          <w:caps/>
          <w:color w:val="17365D"/>
          <w:sz w:val="24"/>
          <w:szCs w:val="24"/>
        </w:rPr>
        <w:t>Glossario</w:t>
      </w:r>
    </w:p>
    <w:p w14:paraId="090BBBE5" w14:textId="77777777" w:rsidR="004176C3" w:rsidRPr="00A4252C" w:rsidRDefault="004176C3" w:rsidP="00527B02">
      <w:pPr>
        <w:pStyle w:val="Paragrafoelenco1"/>
        <w:autoSpaceDE w:val="0"/>
        <w:autoSpaceDN w:val="0"/>
        <w:adjustRightInd w:val="0"/>
        <w:ind w:left="0"/>
        <w:contextualSpacing w:val="0"/>
        <w:rPr>
          <w:rFonts w:cs="Arial"/>
          <w:i/>
          <w:spacing w:val="-3"/>
          <w:szCs w:val="20"/>
        </w:rPr>
      </w:pPr>
      <w:r w:rsidRPr="00A4252C">
        <w:rPr>
          <w:rFonts w:cs="Arial"/>
          <w:b/>
          <w:spacing w:val="-3"/>
          <w:szCs w:val="20"/>
        </w:rPr>
        <w:t>Attivazione (CO)</w:t>
      </w:r>
      <w:r w:rsidRPr="00A4252C">
        <w:rPr>
          <w:rFonts w:cs="Arial"/>
          <w:spacing w:val="-3"/>
          <w:szCs w:val="20"/>
        </w:rPr>
        <w:t>: inizio di una nuova fattispecie contrattuale, a carattere permanente o temporaneo, sottoposta a Comunicazione obbligatoria da parte del datore di lavoro. Nel caso dell’esperienza di lavoro coincide con l’inizio del tirocinio.</w:t>
      </w:r>
      <w:r w:rsidRPr="00A4252C">
        <w:rPr>
          <w:rFonts w:cs="Arial"/>
          <w:b/>
          <w:spacing w:val="-3"/>
          <w:szCs w:val="20"/>
        </w:rPr>
        <w:t xml:space="preserve"> </w:t>
      </w:r>
    </w:p>
    <w:p w14:paraId="2233F325"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 xml:space="preserve">Cessazione (CO): </w:t>
      </w:r>
      <w:r w:rsidRPr="00A4252C">
        <w:rPr>
          <w:rFonts w:cs="Arial"/>
          <w:spacing w:val="-3"/>
          <w:szCs w:val="20"/>
        </w:rPr>
        <w:t xml:space="preserve">conclusione di una fattispecie contrattuale, a carattere permanente o temporaneo. In particolare, si intende per “cessazione a termine” la conclusione di un rapporto di lavoro temporaneo alla fine prevista dal contratto (la c.d. “data presunta”), per la quale la Comunicazione obbligatoria di avvenuta conclusione da parte del datore di lavoro non è dovuta. </w:t>
      </w:r>
    </w:p>
    <w:p w14:paraId="3E0399B3" w14:textId="3A17FCDC"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 xml:space="preserve">Classe dimensionale delle imprese private (Inps): </w:t>
      </w:r>
      <w:r w:rsidRPr="00A4252C">
        <w:rPr>
          <w:rFonts w:cs="Arial"/>
          <w:spacing w:val="-3"/>
          <w:szCs w:val="20"/>
        </w:rPr>
        <w:t xml:space="preserve">numero medio annuo delle posizioni lavorative dipendenti calcolato come rapporto tra la somma dei lavoratori dichiarati per </w:t>
      </w:r>
      <w:r w:rsidR="00D9039D" w:rsidRPr="00A4252C">
        <w:rPr>
          <w:rFonts w:cs="Arial"/>
          <w:spacing w:val="-3"/>
          <w:szCs w:val="20"/>
        </w:rPr>
        <w:t xml:space="preserve">ogni </w:t>
      </w:r>
      <w:r w:rsidRPr="00A4252C">
        <w:rPr>
          <w:rFonts w:cs="Arial"/>
          <w:spacing w:val="-3"/>
          <w:szCs w:val="20"/>
        </w:rPr>
        <w:t>singola posizione assicurativa (identificativo Inps) nei vari mesi dell’anno e il numero delle denunce mensili Uniemens presentate nello stesso anno.</w:t>
      </w:r>
    </w:p>
    <w:p w14:paraId="2B2C37E7"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Classificazione Ateco 2007:</w:t>
      </w:r>
      <w:r w:rsidRPr="00A4252C">
        <w:rPr>
          <w:rFonts w:cs="Arial"/>
          <w:spacing w:val="-3"/>
          <w:szCs w:val="20"/>
        </w:rPr>
        <w:t xml:space="preserve"> è la classificazione delle attività economiche e costituisce la versione nazionale della nomenclatura europea </w:t>
      </w:r>
      <w:hyperlink r:id="rId19" w:history="1">
        <w:r w:rsidRPr="00A4252C">
          <w:rPr>
            <w:rStyle w:val="Collegamentoipertestuale"/>
            <w:rFonts w:cs="Arial"/>
            <w:spacing w:val="-3"/>
          </w:rPr>
          <w:t>Nace.Rev.2</w:t>
        </w:r>
      </w:hyperlink>
      <w:r w:rsidRPr="00A4252C">
        <w:rPr>
          <w:rFonts w:cs="Arial"/>
          <w:spacing w:val="-3"/>
          <w:szCs w:val="20"/>
        </w:rPr>
        <w:t xml:space="preserve">, pubblicata sull’Official Journal il 20 dicembre 2006 (Regolamento </w:t>
      </w:r>
      <w:r w:rsidRPr="00A4252C">
        <w:rPr>
          <w:rFonts w:cs="Arial"/>
          <w:spacing w:val="-3"/>
          <w:szCs w:val="20"/>
        </w:rPr>
        <w:br/>
      </w:r>
      <w:hyperlink r:id="rId20" w:history="1">
        <w:r w:rsidRPr="00A4252C">
          <w:rPr>
            <w:rStyle w:val="Collegamentoipertestuale"/>
            <w:rFonts w:cs="Arial"/>
            <w:spacing w:val="-3"/>
          </w:rPr>
          <w:t>CE n. 1893/2006</w:t>
        </w:r>
      </w:hyperlink>
      <w:r w:rsidRPr="00A4252C">
        <w:rPr>
          <w:rFonts w:cs="Arial"/>
          <w:spacing w:val="-3"/>
          <w:szCs w:val="20"/>
        </w:rPr>
        <w:t xml:space="preserve"> del PE e del Consiglio del 20/12/2006) e adottata dall’Istat il 1° gennaio 2008. </w:t>
      </w:r>
    </w:p>
    <w:p w14:paraId="0D337AA4" w14:textId="63057240" w:rsidR="00AA3483" w:rsidRPr="00A4252C" w:rsidRDefault="00AA3483" w:rsidP="00AA3483">
      <w:pPr>
        <w:pStyle w:val="Testocommento"/>
        <w:rPr>
          <w:b/>
        </w:rPr>
      </w:pPr>
      <w:r w:rsidRPr="00A4252C">
        <w:rPr>
          <w:b/>
        </w:rPr>
        <w:t>Classificazione ICD–X</w:t>
      </w:r>
      <w:r w:rsidRPr="00A4252C">
        <w:t>: è un codice della classificazione statistica internazionale delle malattie e dei problemi sanitari correlati (International Statistical Classification of Deseases and related health problems). Il sistema ripartisce le malattie in 21 settori e ciascun settore contiene una famiglia di malattie; ciascuna malattia è individuata da un codice alfanumerico.</w:t>
      </w:r>
    </w:p>
    <w:p w14:paraId="5A696485"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 xml:space="preserve">Comunicazioni obbligatorie (CO): </w:t>
      </w:r>
      <w:r w:rsidRPr="00A4252C">
        <w:rPr>
          <w:rFonts w:cs="Arial"/>
          <w:spacing w:val="-3"/>
          <w:szCs w:val="20"/>
        </w:rPr>
        <w:t xml:space="preserve">comunicazioni che tutti i datori di lavoro, pubblici e privati, devono obbligatoriamente trasmettere ai servizi competenti in caso di attivazione, proroga, trasformazione e cessazione di rapporti di lavoro subordinato, associato, di tirocini e di altre esperienze professionali previste dalla normativa vigente (art. 4-bis del D.Lgs. n. 181/2000, così come modificato dall’art. 1, comma 1184 della L. 296/2006, ovvero altre leggi speciali che disciplinano le comunicazioni di settori specifici quali la pubblica amministrazione, la scuola, il settore marittimo). </w:t>
      </w:r>
    </w:p>
    <w:p w14:paraId="2826E5ED" w14:textId="1DAB17E2" w:rsidR="00DD424C" w:rsidRPr="00DD424C" w:rsidRDefault="00DD424C" w:rsidP="00527B02">
      <w:pPr>
        <w:pStyle w:val="Paragrafoelenco1"/>
        <w:autoSpaceDE w:val="0"/>
        <w:autoSpaceDN w:val="0"/>
        <w:adjustRightInd w:val="0"/>
        <w:ind w:left="0"/>
        <w:contextualSpacing w:val="0"/>
        <w:rPr>
          <w:rFonts w:cs="Arial"/>
          <w:spacing w:val="-3"/>
          <w:szCs w:val="20"/>
        </w:rPr>
      </w:pPr>
      <w:r w:rsidRPr="00DD424C">
        <w:rPr>
          <w:rFonts w:cs="Arial"/>
          <w:b/>
          <w:spacing w:val="-3"/>
          <w:szCs w:val="20"/>
        </w:rPr>
        <w:t>Contratto di Prestazione Occasionale</w:t>
      </w:r>
      <w:r w:rsidRPr="00DD424C">
        <w:rPr>
          <w:rFonts w:cs="Arial"/>
          <w:spacing w:val="-3"/>
          <w:szCs w:val="20"/>
        </w:rPr>
        <w:t xml:space="preserve">: è una delle due nuove forme di lavoro occasionale (l’altra è il Libretto Famiglia) introdotte a giugno del 2017, in sede di conversione del decreto legge 24 aprile 2017, n. 50. Il contratto di prestazione occasionale è utilizzabile da datori di lavoro persone fisiche non nell’esercizio di attività imprenditoriale o professionale. A parte alcuni regimi particolari, l’utilizzo di questo contratto ha un limite economico netto annuo di 5.000 euro per l’utilizzatore per la totalità dei prestatori, così come per il prestatore per la totalità degli utilizzatori (sulla singola coppia datore-prestatore il limite è di 2.500 euro). Il ricorso </w:t>
      </w:r>
      <w:r>
        <w:rPr>
          <w:rFonts w:cs="Arial"/>
          <w:spacing w:val="-3"/>
          <w:szCs w:val="20"/>
        </w:rPr>
        <w:t xml:space="preserve">a questi contratti non è ammesso </w:t>
      </w:r>
      <w:r w:rsidRPr="00DD424C">
        <w:rPr>
          <w:rFonts w:cs="Arial"/>
          <w:spacing w:val="-3"/>
          <w:szCs w:val="20"/>
        </w:rPr>
        <w:t xml:space="preserve">ai datori di lavoro che hanno alle dipendenze più di 5 lavoratori a tempo indeterminato. Per </w:t>
      </w:r>
      <w:r>
        <w:rPr>
          <w:rFonts w:cs="Arial"/>
          <w:spacing w:val="-3"/>
          <w:szCs w:val="20"/>
        </w:rPr>
        <w:t>ulteriori</w:t>
      </w:r>
      <w:r w:rsidRPr="00DD424C">
        <w:rPr>
          <w:rFonts w:cs="Arial"/>
          <w:spacing w:val="-3"/>
          <w:szCs w:val="20"/>
        </w:rPr>
        <w:t xml:space="preserve"> dettagli si rimanda alla normativa citata, alla circolare n. 107 del 5 luglio 2017 dell’I</w:t>
      </w:r>
      <w:r>
        <w:rPr>
          <w:rFonts w:cs="Arial"/>
          <w:spacing w:val="-3"/>
          <w:szCs w:val="20"/>
        </w:rPr>
        <w:t>nps</w:t>
      </w:r>
      <w:r w:rsidRPr="00DD424C">
        <w:rPr>
          <w:rFonts w:cs="Arial"/>
          <w:spacing w:val="-3"/>
          <w:szCs w:val="20"/>
        </w:rPr>
        <w:t xml:space="preserve"> e successive.</w:t>
      </w:r>
    </w:p>
    <w:p w14:paraId="184226B9"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 xml:space="preserve">Dati destagionalizzati: </w:t>
      </w:r>
      <w:r w:rsidRPr="00A4252C">
        <w:rPr>
          <w:rFonts w:cs="Arial"/>
          <w:spacing w:val="-3"/>
          <w:szCs w:val="20"/>
        </w:rPr>
        <w:t>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14:paraId="3CD449F8"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Denunce</w:t>
      </w:r>
      <w:r w:rsidRPr="00A4252C">
        <w:rPr>
          <w:rFonts w:cs="Arial"/>
          <w:b/>
          <w:bCs/>
          <w:szCs w:val="20"/>
        </w:rPr>
        <w:t xml:space="preserve"> di infortunio sul lavoro (Inail): </w:t>
      </w:r>
      <w:r w:rsidRPr="00A4252C">
        <w:rPr>
          <w:rFonts w:cs="Arial"/>
          <w:bCs/>
          <w:szCs w:val="20"/>
        </w:rPr>
        <w:t>s</w:t>
      </w:r>
      <w:r w:rsidRPr="00A4252C">
        <w:rPr>
          <w:rFonts w:cs="Arial"/>
          <w:spacing w:val="-3"/>
          <w:szCs w:val="20"/>
        </w:rPr>
        <w:t>ono le comunicazioni cui è tenuto il datore di lavoro per segnalare all’Inail l’infortunio accaduto al dipendente, prognosticato non guaribile entro tre giorni, a prescindere da ogni valutazione circa la ricorrenza degli estremi di legge per la tutela assicurativa. È qualificabile denuncia qualsiasi informazione, comunque reperita, relativa all’infortunio: oltre alla denuncia propriamente detta, un certificato medico, o una segnalazione di altro tipo (per esempio, a mezzo stampa). Riferimenti normativi: DPR 1124/1965, art. 53, art. 112. Le denunce possono distinguersi in due modalità di accadimento dell’infortunio:</w:t>
      </w:r>
    </w:p>
    <w:p w14:paraId="372682DD" w14:textId="77777777" w:rsidR="004176C3" w:rsidRPr="00A4252C" w:rsidRDefault="004176C3" w:rsidP="00527B02">
      <w:pPr>
        <w:pStyle w:val="Paragrafoelenco1"/>
        <w:numPr>
          <w:ilvl w:val="0"/>
          <w:numId w:val="12"/>
        </w:numPr>
        <w:autoSpaceDE w:val="0"/>
        <w:autoSpaceDN w:val="0"/>
        <w:adjustRightInd w:val="0"/>
        <w:ind w:left="284" w:hanging="284"/>
        <w:contextualSpacing w:val="0"/>
        <w:rPr>
          <w:rFonts w:cs="Arial"/>
          <w:strike/>
          <w:spacing w:val="-3"/>
          <w:szCs w:val="20"/>
        </w:rPr>
      </w:pPr>
      <w:r w:rsidRPr="00A4252C">
        <w:rPr>
          <w:rFonts w:cs="Arial"/>
          <w:spacing w:val="-3"/>
          <w:szCs w:val="20"/>
        </w:rPr>
        <w:t xml:space="preserve">“in occasione di lavoro”, ovvero l’infortunio occorso al lavoratore in connessione con le condizioni in cui si svolge l’attività lavorativa, comprese le attività prodromiche o strumentali, e nelle quali è insito un rischio di danno per il lavoratore. E’ disciplinato dal comma 1 dell’art. 2 del DPR 1124/1965; </w:t>
      </w:r>
    </w:p>
    <w:p w14:paraId="5B7734F8" w14:textId="77777777" w:rsidR="004176C3" w:rsidRPr="00A4252C" w:rsidRDefault="004176C3" w:rsidP="00527B02">
      <w:pPr>
        <w:pStyle w:val="Paragrafoelenco1"/>
        <w:numPr>
          <w:ilvl w:val="0"/>
          <w:numId w:val="12"/>
        </w:numPr>
        <w:autoSpaceDE w:val="0"/>
        <w:autoSpaceDN w:val="0"/>
        <w:adjustRightInd w:val="0"/>
        <w:ind w:left="284" w:hanging="284"/>
        <w:contextualSpacing w:val="0"/>
        <w:rPr>
          <w:rFonts w:cs="Arial"/>
          <w:spacing w:val="-3"/>
          <w:szCs w:val="20"/>
        </w:rPr>
      </w:pPr>
      <w:r w:rsidRPr="00A4252C">
        <w:rPr>
          <w:rFonts w:cs="Arial"/>
          <w:spacing w:val="-3"/>
          <w:szCs w:val="20"/>
        </w:rPr>
        <w:t xml:space="preserve">“in itinere”, ovvero l’infortunio occorso al lavoratore durante il normale percorso di andata-ritorno dall’abitazione al posto di lavoro; o durante il normale tragitto che collega due luoghi di lavoro (in caso di rapporti di lavoro plurimi), o durante il normale percorso di andata-ritorno da luogo di lavoro a quello di consumazione dei pasti (qualora non esista una mensa aziendale). Interruzioni/deviazioni dal normale percorso e l’utilizzo del mezzo privato sono tutelate in specifiche condizioni di necessità; restano comunque esclusi dalla tutela gli infortuni direttamente causati dall’abuso di alcolici e di psicofarmaci, dall’uso non terapeutico di sostanze stupefacenti e di allucinogeni, gli infortuni occorsi al conducente sprovvisto della </w:t>
      </w:r>
      <w:r w:rsidRPr="00A4252C">
        <w:rPr>
          <w:rFonts w:cs="Arial"/>
          <w:spacing w:val="-3"/>
          <w:szCs w:val="20"/>
        </w:rPr>
        <w:lastRenderedPageBreak/>
        <w:t>prescritta abilitazione alla guida. E’ disciplinato dall’ultimo comma dell’art. 2 del DPR 1124/1965, introdotto dall’art. 12 del DLgs 38/2000.</w:t>
      </w:r>
    </w:p>
    <w:p w14:paraId="07380263" w14:textId="77777777" w:rsidR="004176C3" w:rsidRPr="00A4252C" w:rsidRDefault="004176C3" w:rsidP="00527B02">
      <w:pPr>
        <w:autoSpaceDE w:val="0"/>
        <w:autoSpaceDN w:val="0"/>
        <w:adjustRightInd w:val="0"/>
      </w:pPr>
      <w:r w:rsidRPr="00A4252C">
        <w:t>Per</w:t>
      </w:r>
      <w:r w:rsidRPr="00A4252C">
        <w:rPr>
          <w:b/>
        </w:rPr>
        <w:t xml:space="preserve"> </w:t>
      </w:r>
      <w:r w:rsidRPr="00A4252C">
        <w:t>esito mortale</w:t>
      </w:r>
      <w:r w:rsidRPr="00A4252C">
        <w:rPr>
          <w:b/>
        </w:rPr>
        <w:t xml:space="preserve"> </w:t>
      </w:r>
      <w:r w:rsidRPr="00A4252C">
        <w:t xml:space="preserve">si intende l'infortunio che provoca la morte dell'infortunato. L’infortunio con esito mortale è caratterizzato dalla data di accadimento dell'infortunio definito come causa della morte, anche se la morte avviene in una data successiva. </w:t>
      </w:r>
    </w:p>
    <w:p w14:paraId="0AC03FD9" w14:textId="77777777" w:rsidR="004176C3" w:rsidRPr="00A4252C" w:rsidRDefault="004176C3" w:rsidP="00527B02">
      <w:pPr>
        <w:autoSpaceDE w:val="0"/>
        <w:autoSpaceDN w:val="0"/>
        <w:adjustRightInd w:val="0"/>
        <w:rPr>
          <w:rFonts w:cs="Arial"/>
          <w:spacing w:val="-3"/>
          <w:szCs w:val="20"/>
        </w:rPr>
      </w:pPr>
      <w:r w:rsidRPr="00A4252C">
        <w:t>La</w:t>
      </w:r>
      <w:r w:rsidRPr="00A4252C">
        <w:rPr>
          <w:b/>
        </w:rPr>
        <w:t xml:space="preserve"> </w:t>
      </w:r>
      <w:r w:rsidRPr="00A4252C">
        <w:t>gestione assicurativa caratterizza le modalità di esercizio dell’assicurazione contro gli infortuni sul lavoro: “industria e servizi”, “agricoltura” e “per conto dello Stato”, sono le più rilevanti per la valutazione del fenomeno infortunistico</w:t>
      </w:r>
      <w:r w:rsidRPr="00A4252C">
        <w:rPr>
          <w:rFonts w:cs="Arial"/>
          <w:spacing w:val="-3"/>
          <w:szCs w:val="20"/>
        </w:rPr>
        <w:t xml:space="preserve">. </w:t>
      </w:r>
    </w:p>
    <w:p w14:paraId="0C5E1DEF" w14:textId="77777777" w:rsidR="004176C3" w:rsidRPr="00A4252C" w:rsidRDefault="004176C3" w:rsidP="00527B02">
      <w:pPr>
        <w:autoSpaceDE w:val="0"/>
        <w:autoSpaceDN w:val="0"/>
        <w:adjustRightInd w:val="0"/>
        <w:rPr>
          <w:rFonts w:cs="Arial"/>
          <w:spacing w:val="-3"/>
          <w:szCs w:val="20"/>
        </w:rPr>
      </w:pPr>
      <w:r w:rsidRPr="00A4252C">
        <w:rPr>
          <w:rFonts w:cs="Arial"/>
          <w:spacing w:val="-3"/>
          <w:szCs w:val="20"/>
        </w:rPr>
        <w:t xml:space="preserve">Per ulteriori approfondimenti si rimanda al Vocabolario e thesaurus Inail pubblicato sul sito istituzionale: http://dati.inail.it/opendata_files/downloads/daticoncadenzasemestraleinfortuni/Vocabolario_thesaurus.pdf </w:t>
      </w:r>
    </w:p>
    <w:p w14:paraId="11AF12D9" w14:textId="77777777" w:rsidR="004176C3" w:rsidRPr="00A4252C" w:rsidRDefault="004176C3" w:rsidP="00527B02">
      <w:pPr>
        <w:autoSpaceDE w:val="0"/>
        <w:autoSpaceDN w:val="0"/>
        <w:adjustRightInd w:val="0"/>
        <w:rPr>
          <w:rFonts w:cs="Arial"/>
          <w:noProof/>
          <w:szCs w:val="20"/>
          <w:lang w:eastAsia="it-IT"/>
        </w:rPr>
      </w:pPr>
      <w:r w:rsidRPr="00A4252C">
        <w:rPr>
          <w:rFonts w:cs="Arial"/>
          <w:b/>
          <w:noProof/>
          <w:szCs w:val="20"/>
          <w:lang w:eastAsia="it-IT"/>
        </w:rPr>
        <w:t xml:space="preserve">Dati longitudinali (Rfl): </w:t>
      </w:r>
      <w:r w:rsidRPr="00A4252C">
        <w:rPr>
          <w:rFonts w:cs="Arial"/>
          <w:noProof/>
          <w:szCs w:val="20"/>
          <w:lang w:eastAsia="it-IT"/>
        </w:rPr>
        <w:t xml:space="preserve">informazioni sugli stessi individui intervistati in diversi momenti temporali nella Rilevazione sulle forze di lavoro. La componente longitudinale consente di individuare sia il numero di permanenze in uno status occupazionale (occupato, disoccupato, non forze di lavoro) sia il numero di transizioni in entrata e in uscita dai diversi status. La componente longitudinale non rappresenta tutta la popolazione, ma solo quella residente in uno stesso comune sia all’inizio sia alla fine del periodo considerato. </w:t>
      </w:r>
    </w:p>
    <w:p w14:paraId="0472CB14"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spacing w:val="-3"/>
          <w:szCs w:val="20"/>
        </w:rPr>
        <w:t>Disoccupati (Rfl):</w:t>
      </w:r>
      <w:r w:rsidRPr="00A4252C">
        <w:rPr>
          <w:rFonts w:cs="Arial"/>
          <w:spacing w:val="-3"/>
          <w:szCs w:val="20"/>
        </w:rPr>
        <w:t xml:space="preserve"> persone non occupate tra i 15 e i 74 anni che:</w:t>
      </w:r>
    </w:p>
    <w:p w14:paraId="42E5733D" w14:textId="77777777" w:rsidR="004176C3" w:rsidRPr="00A4252C" w:rsidRDefault="004176C3" w:rsidP="00527B02">
      <w:pPr>
        <w:pStyle w:val="Corpotesto"/>
        <w:widowControl/>
        <w:numPr>
          <w:ilvl w:val="0"/>
          <w:numId w:val="7"/>
        </w:numPr>
        <w:tabs>
          <w:tab w:val="clear" w:pos="-567"/>
          <w:tab w:val="clear" w:pos="-1"/>
          <w:tab w:val="clear" w:pos="565"/>
          <w:tab w:val="left" w:pos="284"/>
        </w:tabs>
        <w:autoSpaceDE w:val="0"/>
        <w:autoSpaceDN w:val="0"/>
        <w:adjustRightInd w:val="0"/>
        <w:spacing w:after="120" w:line="240" w:lineRule="auto"/>
        <w:ind w:left="0" w:firstLine="0"/>
        <w:rPr>
          <w:rFonts w:ascii="Arial" w:hAnsi="Arial" w:cs="Arial"/>
          <w:noProof/>
          <w:color w:val="auto"/>
        </w:rPr>
      </w:pPr>
      <w:r w:rsidRPr="00A4252C">
        <w:rPr>
          <w:rFonts w:ascii="Arial" w:hAnsi="Arial" w:cs="Arial"/>
          <w:noProof/>
          <w:color w:val="auto"/>
        </w:rPr>
        <w:t>hanno effettuato almeno un’azione di ricerca di lavoro nelle quattro settimane che precedono la settimana di riferimento e sono disponibili a lavorare (o ad avviare un’attività autonoma) entro le due settimane successive; oppure</w:t>
      </w:r>
    </w:p>
    <w:p w14:paraId="7782D51B" w14:textId="77777777" w:rsidR="004176C3" w:rsidRPr="00A4252C" w:rsidRDefault="004176C3" w:rsidP="00527B02">
      <w:pPr>
        <w:pStyle w:val="Paragrafoelenco1"/>
        <w:numPr>
          <w:ilvl w:val="0"/>
          <w:numId w:val="7"/>
        </w:numPr>
        <w:tabs>
          <w:tab w:val="left" w:pos="284"/>
        </w:tabs>
        <w:autoSpaceDE w:val="0"/>
        <w:autoSpaceDN w:val="0"/>
        <w:adjustRightInd w:val="0"/>
        <w:ind w:left="0" w:firstLine="0"/>
        <w:contextualSpacing w:val="0"/>
        <w:rPr>
          <w:rFonts w:cs="Arial"/>
          <w:noProof/>
          <w:szCs w:val="20"/>
          <w:lang w:eastAsia="it-IT"/>
        </w:rPr>
      </w:pPr>
      <w:r w:rsidRPr="00A4252C">
        <w:rPr>
          <w:rFonts w:cs="Arial"/>
          <w:noProof/>
          <w:szCs w:val="20"/>
          <w:lang w:eastAsia="it-IT"/>
        </w:rPr>
        <w:t>inizieranno un lavoro entro tre mesi dalla settimana di riferimento e sarebbero disponibili a lavorare (o ad avviare un’attività autonoma) entro le due settimane successive, qualora fosse possibile anticipare l’inizio del lavoro.</w:t>
      </w:r>
    </w:p>
    <w:p w14:paraId="713666DD" w14:textId="77777777" w:rsidR="004176C3" w:rsidRPr="00A4252C" w:rsidRDefault="004176C3" w:rsidP="00527B02">
      <w:pPr>
        <w:autoSpaceDE w:val="0"/>
        <w:autoSpaceDN w:val="0"/>
        <w:adjustRightInd w:val="0"/>
        <w:rPr>
          <w:rFonts w:cs="Arial"/>
          <w:noProof/>
          <w:szCs w:val="20"/>
          <w:lang w:eastAsia="it-IT"/>
        </w:rPr>
      </w:pPr>
      <w:r w:rsidRPr="00A4252C">
        <w:rPr>
          <w:rFonts w:cs="Arial"/>
          <w:b/>
          <w:noProof/>
          <w:szCs w:val="20"/>
          <w:lang w:eastAsia="it-IT"/>
        </w:rPr>
        <w:t xml:space="preserve">Enti pubblici economici: </w:t>
      </w:r>
      <w:r w:rsidRPr="00A4252C">
        <w:rPr>
          <w:rFonts w:cs="Arial"/>
          <w:noProof/>
          <w:szCs w:val="20"/>
          <w:lang w:eastAsia="it-IT"/>
        </w:rPr>
        <w:t>enti soggetti alla registrazione nel registro delle imprese che si caratterizzano per il fatto di avere come oggetto, in via esclusiva o principale, l’esercizio di un’impresa commerciale avvalendosi pertanto di strumenti privatistici. Gli Enti pubblici economici, un tempo numerosissimi, sono in via di estinzione in quanto sono stati quasi tutti trasformati in società per azioni. Il maggior ente economico ancora attivo è la Cassa depositi e prestiti.</w:t>
      </w:r>
    </w:p>
    <w:p w14:paraId="4F152871" w14:textId="77777777" w:rsidR="004176C3" w:rsidRPr="00A4252C" w:rsidRDefault="004176C3" w:rsidP="00527B02">
      <w:pPr>
        <w:pStyle w:val="Paragrafoelenco1"/>
        <w:autoSpaceDE w:val="0"/>
        <w:autoSpaceDN w:val="0"/>
        <w:adjustRightInd w:val="0"/>
        <w:ind w:left="0"/>
        <w:contextualSpacing w:val="0"/>
        <w:rPr>
          <w:rFonts w:cs="Arial"/>
          <w:b/>
          <w:i/>
          <w:spacing w:val="-3"/>
          <w:szCs w:val="20"/>
        </w:rPr>
      </w:pPr>
      <w:r w:rsidRPr="00A4252C">
        <w:rPr>
          <w:rFonts w:cs="Arial"/>
          <w:b/>
          <w:spacing w:val="-3"/>
          <w:szCs w:val="20"/>
        </w:rPr>
        <w:t>Flussi:</w:t>
      </w:r>
      <w:r w:rsidRPr="00A4252C">
        <w:rPr>
          <w:rFonts w:cs="Arial"/>
          <w:b/>
          <w:i/>
          <w:spacing w:val="-3"/>
          <w:szCs w:val="20"/>
        </w:rPr>
        <w:t xml:space="preserve"> </w:t>
      </w:r>
      <w:r w:rsidRPr="00A4252C">
        <w:t>Conteggio</w:t>
      </w:r>
      <w:r w:rsidRPr="00A4252C">
        <w:rPr>
          <w:rFonts w:cs="Arial"/>
          <w:spacing w:val="-3"/>
          <w:szCs w:val="20"/>
        </w:rPr>
        <w:t xml:space="preserve"> degli eventi intervenuti in un intervallo di tempo. </w:t>
      </w:r>
      <w:r w:rsidRPr="00A4252C">
        <w:rPr>
          <w:rFonts w:cs="Arial"/>
          <w:szCs w:val="20"/>
        </w:rPr>
        <w:t>Rappresenta un flusso anche la variazione dello stock di una certa grandezza nell'arco di un periodo temporale (es. attivazioni – cessazioni= movimenti).</w:t>
      </w:r>
    </w:p>
    <w:p w14:paraId="79BD5023" w14:textId="77777777" w:rsidR="004176C3" w:rsidRPr="00A4252C" w:rsidRDefault="004176C3" w:rsidP="00527B02">
      <w:pPr>
        <w:pStyle w:val="Paragrafoelenco1"/>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0"/>
        <w:contextualSpacing w:val="0"/>
        <w:rPr>
          <w:rFonts w:cs="Arial"/>
          <w:spacing w:val="-3"/>
          <w:szCs w:val="20"/>
        </w:rPr>
      </w:pPr>
      <w:r w:rsidRPr="00A4252C">
        <w:rPr>
          <w:rFonts w:cs="Arial"/>
          <w:b/>
          <w:spacing w:val="-3"/>
          <w:szCs w:val="20"/>
        </w:rPr>
        <w:t>Forze di lavoro (Rfl):</w:t>
      </w:r>
      <w:r w:rsidRPr="00A4252C">
        <w:rPr>
          <w:rFonts w:cs="Arial"/>
          <w:i/>
          <w:spacing w:val="-3"/>
          <w:szCs w:val="20"/>
        </w:rPr>
        <w:t xml:space="preserve"> </w:t>
      </w:r>
      <w:r w:rsidRPr="00A4252C">
        <w:rPr>
          <w:rFonts w:cs="Arial"/>
          <w:spacing w:val="-3"/>
          <w:szCs w:val="20"/>
        </w:rPr>
        <w:t>insieme</w:t>
      </w:r>
      <w:r w:rsidRPr="00A4252C">
        <w:rPr>
          <w:rFonts w:cs="Arial"/>
          <w:i/>
          <w:spacing w:val="-3"/>
          <w:szCs w:val="20"/>
        </w:rPr>
        <w:t xml:space="preserve"> </w:t>
      </w:r>
      <w:r w:rsidRPr="00A4252C">
        <w:rPr>
          <w:rFonts w:cs="Arial"/>
          <w:spacing w:val="-3"/>
          <w:szCs w:val="20"/>
        </w:rPr>
        <w:t>delle persone occupate e disoccupate.</w:t>
      </w:r>
    </w:p>
    <w:p w14:paraId="6EB84DCA" w14:textId="77777777" w:rsidR="004176C3" w:rsidRPr="00A4252C" w:rsidRDefault="004176C3" w:rsidP="00527B02">
      <w:pPr>
        <w:pStyle w:val="Paragrafoelenco1"/>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0"/>
        <w:contextualSpacing w:val="0"/>
        <w:rPr>
          <w:rFonts w:cs="Arial"/>
          <w:spacing w:val="-3"/>
          <w:szCs w:val="20"/>
        </w:rPr>
      </w:pPr>
      <w:r w:rsidRPr="00A4252C">
        <w:rPr>
          <w:rFonts w:cs="Arial"/>
          <w:b/>
          <w:spacing w:val="-3"/>
          <w:szCs w:val="20"/>
        </w:rPr>
        <w:t>Inattivi (Rfl):</w:t>
      </w:r>
      <w:r w:rsidRPr="00A4252C">
        <w:rPr>
          <w:rFonts w:cs="Arial"/>
          <w:i/>
          <w:spacing w:val="-3"/>
          <w:szCs w:val="20"/>
        </w:rPr>
        <w:t xml:space="preserve"> </w:t>
      </w:r>
      <w:r w:rsidRPr="00A4252C">
        <w:rPr>
          <w:rFonts w:cs="Arial"/>
          <w:spacing w:val="-3"/>
          <w:szCs w:val="20"/>
        </w:rPr>
        <w:t>persone che non fanno parte delle forze di lavoro, ovvero le persone non classificate come occupate o in cerca di occupazione (disoccupate).</w:t>
      </w:r>
    </w:p>
    <w:p w14:paraId="2F8D40FC" w14:textId="77777777" w:rsidR="004176C3" w:rsidRPr="00A4252C" w:rsidRDefault="004176C3" w:rsidP="00527B02">
      <w:pPr>
        <w:rPr>
          <w:rFonts w:cs="Arial"/>
          <w:lang w:eastAsia="it-IT"/>
        </w:rPr>
      </w:pPr>
      <w:r w:rsidRPr="00A4252C">
        <w:rPr>
          <w:rFonts w:cs="Arial"/>
          <w:b/>
          <w:lang w:eastAsia="it-IT"/>
        </w:rPr>
        <w:t>Lavoro a chiamata o intermittente</w:t>
      </w:r>
      <w:r w:rsidRPr="00A4252C">
        <w:rPr>
          <w:rFonts w:cs="Arial"/>
          <w:lang w:eastAsia="it-IT"/>
        </w:rPr>
        <w:t xml:space="preserve"> </w:t>
      </w:r>
      <w:r w:rsidRPr="00A4252C">
        <w:rPr>
          <w:rFonts w:cs="Arial"/>
          <w:b/>
          <w:lang w:eastAsia="it-IT"/>
        </w:rPr>
        <w:t>(Inps)</w:t>
      </w:r>
      <w:r w:rsidRPr="00A4252C">
        <w:rPr>
          <w:rFonts w:cs="Arial"/>
          <w:lang w:eastAsia="it-IT"/>
        </w:rPr>
        <w:t xml:space="preserve">: </w:t>
      </w:r>
      <w:r w:rsidRPr="00A4252C">
        <w:rPr>
          <w:rFonts w:cs="Arial"/>
          <w:color w:val="000000"/>
          <w:lang w:eastAsia="it-IT"/>
        </w:rPr>
        <w:t xml:space="preserve">contratto mediante il quale un lavoratore si pone a disposizione di un datore per lo svolgimento di una prestazione di lavoro “su chiamata”. </w:t>
      </w:r>
      <w:r w:rsidRPr="00A4252C">
        <w:rPr>
          <w:rFonts w:cs="Arial"/>
          <w:lang w:eastAsia="it-IT"/>
        </w:rPr>
        <w:t>Le misure presentate, basate sulla fonte Uniemens, indicano i lavoratori e le giornate retribuite, calcolate come numero dei codici fiscali distinti nel mese con almeno una giornata retribuita con la tipologia di contratto considerata e le relative giornate. Il valore trimestrale dei lavoratori e delle giornate è calcolato come media dei tre valori mensili.</w:t>
      </w:r>
    </w:p>
    <w:p w14:paraId="5902CE19" w14:textId="77777777" w:rsidR="004176C3" w:rsidRPr="00A4252C" w:rsidRDefault="004176C3" w:rsidP="00527B02">
      <w:pPr>
        <w:rPr>
          <w:rFonts w:ascii="Times New Roman" w:hAnsi="Times New Roman"/>
          <w:sz w:val="24"/>
          <w:szCs w:val="24"/>
          <w:lang w:eastAsia="it-IT"/>
        </w:rPr>
      </w:pPr>
      <w:r w:rsidRPr="00A4252C">
        <w:rPr>
          <w:rFonts w:cs="Arial"/>
          <w:b/>
          <w:lang w:eastAsia="it-IT"/>
        </w:rPr>
        <w:t>Lavoro somministrato (Inps)</w:t>
      </w:r>
      <w:r w:rsidRPr="00A4252C">
        <w:rPr>
          <w:rFonts w:cs="Arial"/>
          <w:lang w:eastAsia="it-IT"/>
        </w:rPr>
        <w:t xml:space="preserve">: </w:t>
      </w:r>
      <w:r w:rsidRPr="00A4252C">
        <w:rPr>
          <w:rFonts w:cs="Arial"/>
          <w:color w:val="000000"/>
          <w:lang w:eastAsia="it-IT"/>
        </w:rPr>
        <w:t>contratto mediante il quale una agenzia di lavoro autorizzata assume lavoratori per</w:t>
      </w:r>
      <w:r w:rsidRPr="00A4252C">
        <w:rPr>
          <w:rFonts w:cs="Arial"/>
          <w:color w:val="000000"/>
          <w:sz w:val="24"/>
          <w:szCs w:val="24"/>
          <w:lang w:eastAsia="it-IT"/>
        </w:rPr>
        <w:t xml:space="preserve"> </w:t>
      </w:r>
      <w:r w:rsidRPr="00A4252C">
        <w:rPr>
          <w:rFonts w:cs="Arial"/>
          <w:color w:val="000000"/>
          <w:lang w:eastAsia="it-IT"/>
        </w:rPr>
        <w:t>essere utilizzati temporaneamente da altre imprese.</w:t>
      </w:r>
      <w:r w:rsidRPr="00A4252C">
        <w:rPr>
          <w:rFonts w:cs="Arial"/>
          <w:color w:val="000000"/>
          <w:sz w:val="24"/>
          <w:szCs w:val="24"/>
          <w:lang w:eastAsia="it-IT"/>
        </w:rPr>
        <w:t xml:space="preserve"> </w:t>
      </w:r>
      <w:r w:rsidRPr="00A4252C">
        <w:rPr>
          <w:rFonts w:cs="Arial"/>
          <w:lang w:eastAsia="it-IT"/>
        </w:rPr>
        <w:t>Le misure presentate, basate sulla fonte Uniemens, indicano i lavoratori e le giornate retribuite, calcolate come il numero dei codici fiscali distinti nel mese con almeno una giornata retribuita con la tipologia di contratto considerata e le relative giornate. Il valore trimestrale dei lavoratori e delle giornate è calcolato come media dei tre valori mensili.</w:t>
      </w:r>
    </w:p>
    <w:p w14:paraId="309FAF92" w14:textId="515BB7E6" w:rsidR="00F462E0" w:rsidRPr="00F462E0" w:rsidRDefault="00F462E0" w:rsidP="00AA3483">
      <w:pPr>
        <w:pStyle w:val="Testocommento"/>
      </w:pPr>
      <w:r w:rsidRPr="00F462E0">
        <w:rPr>
          <w:b/>
        </w:rPr>
        <w:t xml:space="preserve">Libretto Famiglia: </w:t>
      </w:r>
      <w:r w:rsidRPr="00F462E0">
        <w:t xml:space="preserve">è una delle due nuove forme di lavoro occasionale (l’altra è il Contratto di Prestazione Occasionale) introdotte a giugno del 2017, in sede di conversione del decreto legge 24 aprile 2017, n. 50. Possono fare ricorso a </w:t>
      </w:r>
      <w:r w:rsidR="00B50BDA">
        <w:t xml:space="preserve">queste </w:t>
      </w:r>
      <w:r w:rsidRPr="00F462E0">
        <w:t xml:space="preserve">prestazioni di lavoro occasionale soltanto le persone fisiche, non nell’esercizio dell’attività professionale o d’impresa. </w:t>
      </w:r>
      <w:r w:rsidR="00B50BDA">
        <w:t>L</w:t>
      </w:r>
      <w:r w:rsidRPr="00F462E0">
        <w:t xml:space="preserve">’utilizzatore può remunerare le prestazioni di lavoro occasionale rese in suo favore per: a) lavori domestici, inclusi i lavori di giardinaggio, di pulizia o di manutenzione; b) assistenza domiciliare ai bambini e alle persone anziane, ammalate o con disabilità; c) insegnamento privato supplementare. A parte alcuni regimi particolari, l’utilizzo di questo contratto ha un limite economico netto annuo di 5.000 euro per l’utilizzatore per la totalità dei prestatori, così come per il prestatore per la totalità degli utilizzatori (sulla singola coppia datore-prestatore il limite è di 2.500 euro). </w:t>
      </w:r>
      <w:r w:rsidR="00E91142" w:rsidRPr="00DD424C">
        <w:rPr>
          <w:rFonts w:cs="Arial"/>
          <w:spacing w:val="-3"/>
        </w:rPr>
        <w:t xml:space="preserve">Per </w:t>
      </w:r>
      <w:r w:rsidR="00E91142">
        <w:rPr>
          <w:rFonts w:cs="Arial"/>
          <w:spacing w:val="-3"/>
        </w:rPr>
        <w:t>ulteriori</w:t>
      </w:r>
      <w:r w:rsidR="00E91142" w:rsidRPr="00DD424C">
        <w:rPr>
          <w:rFonts w:cs="Arial"/>
          <w:spacing w:val="-3"/>
        </w:rPr>
        <w:t xml:space="preserve"> dettagli si rimanda alla normativa citata, alla circolare n. 107 del 5 luglio 2017 dell’I</w:t>
      </w:r>
      <w:r w:rsidR="00E91142">
        <w:rPr>
          <w:rFonts w:cs="Arial"/>
          <w:spacing w:val="-3"/>
        </w:rPr>
        <w:t>nps</w:t>
      </w:r>
      <w:r w:rsidR="00E91142" w:rsidRPr="00DD424C">
        <w:rPr>
          <w:rFonts w:cs="Arial"/>
          <w:spacing w:val="-3"/>
        </w:rPr>
        <w:t xml:space="preserve"> e successive.</w:t>
      </w:r>
      <w:r w:rsidR="00E91142">
        <w:rPr>
          <w:rFonts w:cs="Arial"/>
          <w:spacing w:val="-3"/>
        </w:rPr>
        <w:t xml:space="preserve"> </w:t>
      </w:r>
    </w:p>
    <w:p w14:paraId="46988F58" w14:textId="77777777" w:rsidR="00AA3483" w:rsidRPr="00A4252C" w:rsidRDefault="00AA3483" w:rsidP="00AA3483">
      <w:pPr>
        <w:pStyle w:val="Testocommento"/>
        <w:rPr>
          <w:rFonts w:cs="Arial"/>
          <w:i/>
        </w:rPr>
      </w:pPr>
      <w:r w:rsidRPr="00A4252C">
        <w:rPr>
          <w:b/>
        </w:rPr>
        <w:lastRenderedPageBreak/>
        <w:t>Malattia professionale</w:t>
      </w:r>
      <w:r w:rsidRPr="00A4252C">
        <w:t>: è la malattia che rientra nella tutela assicurativa, la cui causa agisce lentamente e progressivamente sull’organismo (causa diluita e non causa violenta e concentrata nel tempo). La stessa causa deve essere diretta ed efficiente, cioè in grado di produrre l’infermità in modo esclusivo o prevalente (è ammesso, tuttavia, il concorso di cause extraprofessionali, purché queste non interrompano il nesso causale in quanto capaci di produrre da sole l’infermità).</w:t>
      </w:r>
    </w:p>
    <w:p w14:paraId="5BA98B05" w14:textId="77777777" w:rsidR="004176C3" w:rsidRPr="00A4252C" w:rsidRDefault="004176C3" w:rsidP="00527B02">
      <w:pPr>
        <w:pStyle w:val="Paragrafoelenco1"/>
        <w:tabs>
          <w:tab w:val="left" w:pos="-14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0"/>
        <w:contextualSpacing w:val="0"/>
        <w:rPr>
          <w:rFonts w:cs="Arial"/>
          <w:spacing w:val="-3"/>
          <w:szCs w:val="20"/>
        </w:rPr>
      </w:pPr>
      <w:r w:rsidRPr="00A4252C">
        <w:rPr>
          <w:rFonts w:cs="Arial"/>
          <w:b/>
          <w:spacing w:val="-3"/>
          <w:szCs w:val="20"/>
        </w:rPr>
        <w:t>Occupati (Rfl):</w:t>
      </w:r>
      <w:r w:rsidRPr="00A4252C">
        <w:rPr>
          <w:rFonts w:cs="Arial"/>
          <w:spacing w:val="-3"/>
          <w:szCs w:val="20"/>
        </w:rPr>
        <w:t xml:space="preserve"> persone di 15 anni e più che nella settimana di riferimento (a cui sono riferite le informazioni) presentano una delle seguenti caratteristiche:</w:t>
      </w:r>
    </w:p>
    <w:p w14:paraId="124714EA" w14:textId="77777777" w:rsidR="004176C3" w:rsidRPr="00A4252C" w:rsidRDefault="004176C3" w:rsidP="00527B02">
      <w:pPr>
        <w:pStyle w:val="Corpotesto"/>
        <w:widowControl/>
        <w:numPr>
          <w:ilvl w:val="0"/>
          <w:numId w:val="7"/>
        </w:numPr>
        <w:tabs>
          <w:tab w:val="clear" w:pos="-567"/>
          <w:tab w:val="clear" w:pos="-1"/>
          <w:tab w:val="clear" w:pos="565"/>
          <w:tab w:val="left" w:pos="426"/>
        </w:tabs>
        <w:autoSpaceDE w:val="0"/>
        <w:autoSpaceDN w:val="0"/>
        <w:adjustRightInd w:val="0"/>
        <w:spacing w:after="60" w:line="240" w:lineRule="auto"/>
        <w:ind w:left="426" w:hanging="426"/>
        <w:rPr>
          <w:rFonts w:ascii="Arial" w:hAnsi="Arial" w:cs="Arial"/>
          <w:noProof/>
          <w:color w:val="auto"/>
        </w:rPr>
      </w:pPr>
      <w:r w:rsidRPr="00A4252C">
        <w:rPr>
          <w:rFonts w:ascii="Arial" w:hAnsi="Arial" w:cs="Arial"/>
          <w:noProof/>
          <w:color w:val="auto"/>
        </w:rPr>
        <w:t>hanno svolto almeno un’ora di lavoro in una qualsiasi attività che prevede un corrispettivo monetario o in natura;</w:t>
      </w:r>
    </w:p>
    <w:p w14:paraId="4BF9FD2B" w14:textId="77777777" w:rsidR="004176C3" w:rsidRPr="00A4252C" w:rsidRDefault="004176C3" w:rsidP="00527B02">
      <w:pPr>
        <w:pStyle w:val="Corpotesto"/>
        <w:widowControl/>
        <w:numPr>
          <w:ilvl w:val="0"/>
          <w:numId w:val="7"/>
        </w:numPr>
        <w:tabs>
          <w:tab w:val="clear" w:pos="-567"/>
          <w:tab w:val="clear" w:pos="-1"/>
          <w:tab w:val="clear" w:pos="565"/>
          <w:tab w:val="left" w:pos="426"/>
        </w:tabs>
        <w:autoSpaceDE w:val="0"/>
        <w:autoSpaceDN w:val="0"/>
        <w:adjustRightInd w:val="0"/>
        <w:spacing w:after="60" w:line="240" w:lineRule="auto"/>
        <w:ind w:left="426" w:hanging="426"/>
        <w:rPr>
          <w:rFonts w:ascii="Arial" w:hAnsi="Arial" w:cs="Arial"/>
          <w:noProof/>
          <w:color w:val="auto"/>
        </w:rPr>
      </w:pPr>
      <w:r w:rsidRPr="00A4252C">
        <w:rPr>
          <w:rFonts w:ascii="Arial" w:hAnsi="Arial" w:cs="Arial"/>
          <w:noProof/>
          <w:color w:val="auto"/>
        </w:rPr>
        <w:t>hanno svolto almeno un’ora di lavoro non retribuito nella ditta di un familiare nella quale collaborano abitualmente;</w:t>
      </w:r>
    </w:p>
    <w:p w14:paraId="5072423F" w14:textId="77777777" w:rsidR="004176C3" w:rsidRPr="00A4252C" w:rsidRDefault="004176C3" w:rsidP="00527B02">
      <w:pPr>
        <w:pStyle w:val="Corpotesto"/>
        <w:widowControl/>
        <w:numPr>
          <w:ilvl w:val="0"/>
          <w:numId w:val="7"/>
        </w:numPr>
        <w:tabs>
          <w:tab w:val="clear" w:pos="-567"/>
          <w:tab w:val="clear" w:pos="-1"/>
          <w:tab w:val="clear" w:pos="565"/>
          <w:tab w:val="left" w:pos="426"/>
        </w:tabs>
        <w:autoSpaceDE w:val="0"/>
        <w:autoSpaceDN w:val="0"/>
        <w:adjustRightInd w:val="0"/>
        <w:spacing w:after="60" w:line="240" w:lineRule="auto"/>
        <w:ind w:left="0" w:firstLine="0"/>
        <w:rPr>
          <w:rFonts w:ascii="Arial" w:hAnsi="Arial" w:cs="Arial"/>
          <w:noProof/>
          <w:color w:val="auto"/>
        </w:rPr>
      </w:pPr>
      <w:r w:rsidRPr="00A4252C">
        <w:rPr>
          <w:rFonts w:ascii="Arial" w:hAnsi="Arial" w:cs="Arial"/>
          <w:noProof/>
          <w:color w:val="auto"/>
        </w:rPr>
        <w:t xml:space="preserve">sono assenti dal lavoro (ad esempio, per ferie, malattia o Cassa integrazione). </w:t>
      </w:r>
    </w:p>
    <w:p w14:paraId="4A644CBE" w14:textId="77777777" w:rsidR="004176C3" w:rsidRPr="00A4252C" w:rsidRDefault="004176C3" w:rsidP="00527B02">
      <w:pPr>
        <w:pStyle w:val="Corpotesto"/>
        <w:widowControl/>
        <w:tabs>
          <w:tab w:val="clear" w:pos="-567"/>
          <w:tab w:val="clear" w:pos="-1"/>
          <w:tab w:val="clear" w:pos="565"/>
          <w:tab w:val="left" w:pos="708"/>
        </w:tabs>
        <w:autoSpaceDE w:val="0"/>
        <w:autoSpaceDN w:val="0"/>
        <w:adjustRightInd w:val="0"/>
        <w:spacing w:after="60" w:line="240" w:lineRule="auto"/>
        <w:rPr>
          <w:rFonts w:ascii="Arial" w:hAnsi="Arial" w:cs="Arial"/>
          <w:noProof/>
          <w:color w:val="auto"/>
        </w:rPr>
      </w:pPr>
      <w:r w:rsidRPr="00A4252C">
        <w:rPr>
          <w:rFonts w:ascii="Arial" w:hAnsi="Arial" w:cs="Arial"/>
          <w:noProof/>
          <w:color w:val="auto"/>
        </w:rPr>
        <w:t xml:space="preserve">Gli occupati dipendenti assenti dal lavoro sono considerati occupati se l’assenza non supera tre mesi, oppure se durante l’assenza continuano a percepire almeno il 50% della retribuzione. </w:t>
      </w:r>
    </w:p>
    <w:p w14:paraId="04E0F769" w14:textId="77777777" w:rsidR="004176C3" w:rsidRPr="00A4252C" w:rsidRDefault="004176C3" w:rsidP="00527B02">
      <w:pPr>
        <w:pStyle w:val="Corpotesto"/>
        <w:widowControl/>
        <w:tabs>
          <w:tab w:val="clear" w:pos="-567"/>
          <w:tab w:val="clear" w:pos="-1"/>
          <w:tab w:val="clear" w:pos="565"/>
          <w:tab w:val="left" w:pos="708"/>
        </w:tabs>
        <w:autoSpaceDE w:val="0"/>
        <w:autoSpaceDN w:val="0"/>
        <w:adjustRightInd w:val="0"/>
        <w:spacing w:after="60" w:line="240" w:lineRule="auto"/>
        <w:rPr>
          <w:rFonts w:ascii="Arial" w:hAnsi="Arial" w:cs="Arial"/>
          <w:noProof/>
          <w:color w:val="auto"/>
        </w:rPr>
      </w:pPr>
      <w:r w:rsidRPr="00A4252C">
        <w:rPr>
          <w:rFonts w:ascii="Arial" w:hAnsi="Arial" w:cs="Arial"/>
          <w:noProof/>
          <w:color w:val="auto"/>
        </w:rPr>
        <w:t xml:space="preserve">I lavoratori indipendenti assenti dal lavoro, a eccezione dei coadiuvanti familiari, sono considerati occupati se, durante il periodo di assenza, continuano a mantenere l’attività. </w:t>
      </w:r>
    </w:p>
    <w:p w14:paraId="45801737" w14:textId="77777777" w:rsidR="004176C3" w:rsidRPr="00A4252C" w:rsidRDefault="004176C3" w:rsidP="00527B02">
      <w:pPr>
        <w:pStyle w:val="Corpotesto"/>
        <w:widowControl/>
        <w:tabs>
          <w:tab w:val="clear" w:pos="-567"/>
          <w:tab w:val="clear" w:pos="-1"/>
          <w:tab w:val="clear" w:pos="565"/>
          <w:tab w:val="left" w:pos="708"/>
        </w:tabs>
        <w:autoSpaceDE w:val="0"/>
        <w:autoSpaceDN w:val="0"/>
        <w:adjustRightInd w:val="0"/>
        <w:spacing w:after="60" w:line="240" w:lineRule="auto"/>
        <w:rPr>
          <w:rFonts w:ascii="Arial" w:hAnsi="Arial" w:cs="Arial"/>
          <w:noProof/>
          <w:color w:val="auto"/>
        </w:rPr>
      </w:pPr>
      <w:r w:rsidRPr="00A4252C">
        <w:rPr>
          <w:rFonts w:ascii="Arial" w:hAnsi="Arial" w:cs="Arial"/>
          <w:noProof/>
          <w:color w:val="auto"/>
        </w:rPr>
        <w:t>I coadiuvanti familiari</w:t>
      </w:r>
      <w:r w:rsidRPr="00A4252C">
        <w:rPr>
          <w:rFonts w:ascii="Arial" w:hAnsi="Arial" w:cs="Arial"/>
          <w:color w:val="auto"/>
          <w:spacing w:val="-3"/>
        </w:rPr>
        <w:t xml:space="preserve"> sono considerati occupati se l’assenza non supera tre mesi.</w:t>
      </w:r>
      <w:r w:rsidRPr="00A4252C">
        <w:rPr>
          <w:rFonts w:ascii="Arial" w:hAnsi="Arial" w:cs="Arial"/>
          <w:noProof/>
          <w:color w:val="auto"/>
        </w:rPr>
        <w:t xml:space="preserve"> </w:t>
      </w:r>
    </w:p>
    <w:p w14:paraId="5E0768ED" w14:textId="77777777" w:rsidR="004176C3" w:rsidRPr="00A4252C" w:rsidRDefault="004176C3" w:rsidP="00527B02">
      <w:pPr>
        <w:pStyle w:val="Corpotesto"/>
        <w:widowControl/>
        <w:tabs>
          <w:tab w:val="clear" w:pos="-567"/>
          <w:tab w:val="clear" w:pos="-1"/>
          <w:tab w:val="clear" w:pos="565"/>
          <w:tab w:val="left" w:pos="708"/>
        </w:tabs>
        <w:autoSpaceDE w:val="0"/>
        <w:autoSpaceDN w:val="0"/>
        <w:adjustRightInd w:val="0"/>
        <w:spacing w:after="120" w:line="240" w:lineRule="auto"/>
        <w:rPr>
          <w:rFonts w:ascii="Arial" w:hAnsi="Arial" w:cs="Arial"/>
          <w:noProof/>
          <w:color w:val="auto"/>
        </w:rPr>
      </w:pPr>
      <w:r w:rsidRPr="00A4252C">
        <w:rPr>
          <w:rFonts w:ascii="Arial" w:hAnsi="Arial" w:cs="Arial"/>
          <w:noProof/>
          <w:color w:val="auto"/>
        </w:rPr>
        <w:t xml:space="preserve">Le precedenti condizioni prescindono dalla sottoscrizione di un contratto di lavoro e gli occupati stimati attraverso la Rilevazione sulle forze di lavoro comprendono pertanto anche forme di lavoro irregolare. </w:t>
      </w:r>
    </w:p>
    <w:p w14:paraId="5D514508" w14:textId="77777777" w:rsidR="004176C3" w:rsidRPr="00A4252C" w:rsidRDefault="004176C3" w:rsidP="00527B02">
      <w:pPr>
        <w:pStyle w:val="Corpotesto"/>
        <w:widowControl/>
        <w:tabs>
          <w:tab w:val="clear" w:pos="-567"/>
          <w:tab w:val="clear" w:pos="-1"/>
          <w:tab w:val="clear" w:pos="565"/>
          <w:tab w:val="left" w:pos="708"/>
        </w:tabs>
        <w:autoSpaceDE w:val="0"/>
        <w:autoSpaceDN w:val="0"/>
        <w:adjustRightInd w:val="0"/>
        <w:spacing w:after="120" w:line="240" w:lineRule="auto"/>
        <w:rPr>
          <w:rFonts w:ascii="Arial" w:hAnsi="Arial" w:cs="Arial"/>
          <w:color w:val="auto"/>
          <w:spacing w:val="-3"/>
        </w:rPr>
      </w:pPr>
      <w:r w:rsidRPr="00A4252C">
        <w:rPr>
          <w:rFonts w:ascii="Arial" w:hAnsi="Arial" w:cs="Arial"/>
          <w:b/>
          <w:color w:val="auto"/>
          <w:spacing w:val="-3"/>
        </w:rPr>
        <w:t xml:space="preserve">Occupati dipendenti a termine (Rfl): </w:t>
      </w:r>
      <w:r w:rsidRPr="00A4252C">
        <w:rPr>
          <w:rFonts w:ascii="Arial" w:hAnsi="Arial" w:cs="Arial"/>
          <w:color w:val="auto"/>
          <w:spacing w:val="-3"/>
        </w:rPr>
        <w:t>occupati con un rapporto di lavoro dipendente, regolato o meno da contratto, per il quale è espressamente indicato un termine di scadenza.</w:t>
      </w:r>
    </w:p>
    <w:p w14:paraId="11D22431" w14:textId="77777777" w:rsidR="004176C3" w:rsidRPr="00A4252C" w:rsidRDefault="004176C3" w:rsidP="00527B02">
      <w:pPr>
        <w:pStyle w:val="Corpotesto"/>
        <w:widowControl/>
        <w:autoSpaceDE w:val="0"/>
        <w:autoSpaceDN w:val="0"/>
        <w:adjustRightInd w:val="0"/>
        <w:spacing w:after="120" w:line="240" w:lineRule="auto"/>
        <w:rPr>
          <w:rFonts w:ascii="Arial" w:hAnsi="Arial" w:cs="Arial"/>
          <w:color w:val="auto"/>
          <w:spacing w:val="-3"/>
        </w:rPr>
      </w:pPr>
      <w:r w:rsidRPr="00A4252C">
        <w:rPr>
          <w:rFonts w:ascii="Arial" w:hAnsi="Arial" w:cs="Arial"/>
          <w:b/>
          <w:color w:val="auto"/>
          <w:spacing w:val="-3"/>
        </w:rPr>
        <w:t xml:space="preserve">Occupati dipendenti permanenti o a tempo indeterminato (Rfl): </w:t>
      </w:r>
      <w:r w:rsidRPr="00A4252C">
        <w:rPr>
          <w:rFonts w:ascii="Arial" w:hAnsi="Arial" w:cs="Arial"/>
          <w:color w:val="auto"/>
          <w:spacing w:val="-3"/>
        </w:rPr>
        <w:t>occupati con un rapporto di lavoro dipendente, regolato o meno da contratto, per il quale non è definito alcun termine.</w:t>
      </w:r>
    </w:p>
    <w:p w14:paraId="45C32EF0" w14:textId="77777777" w:rsidR="004176C3" w:rsidRPr="00A4252C" w:rsidRDefault="004176C3" w:rsidP="00527B02">
      <w:pPr>
        <w:pStyle w:val="Corpotesto"/>
        <w:widowControl/>
        <w:tabs>
          <w:tab w:val="clear" w:pos="-567"/>
          <w:tab w:val="clear" w:pos="-1"/>
          <w:tab w:val="clear" w:pos="565"/>
          <w:tab w:val="left" w:pos="708"/>
        </w:tabs>
        <w:autoSpaceDE w:val="0"/>
        <w:autoSpaceDN w:val="0"/>
        <w:adjustRightInd w:val="0"/>
        <w:spacing w:after="120" w:line="240" w:lineRule="auto"/>
        <w:rPr>
          <w:rFonts w:ascii="Arial" w:hAnsi="Arial" w:cs="Arial"/>
          <w:noProof/>
          <w:color w:val="auto"/>
        </w:rPr>
      </w:pPr>
      <w:r w:rsidRPr="00A4252C">
        <w:rPr>
          <w:rFonts w:ascii="Arial" w:hAnsi="Arial" w:cs="Arial"/>
          <w:b/>
          <w:color w:val="auto"/>
          <w:spacing w:val="-3"/>
        </w:rPr>
        <w:t>Occupati indipendenti (Rfl):</w:t>
      </w:r>
      <w:r w:rsidRPr="00A4252C">
        <w:rPr>
          <w:rFonts w:ascii="Arial" w:hAnsi="Arial" w:cs="Arial"/>
          <w:color w:val="auto"/>
          <w:spacing w:val="-3"/>
        </w:rPr>
        <w:t xml:space="preserve"> c</w:t>
      </w:r>
      <w:r w:rsidRPr="00A4252C">
        <w:rPr>
          <w:rFonts w:ascii="Arial" w:hAnsi="Arial" w:cs="Arial"/>
          <w:noProof/>
          <w:color w:val="auto"/>
        </w:rPr>
        <w:t xml:space="preserve">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 </w:t>
      </w:r>
    </w:p>
    <w:p w14:paraId="6BEC7D6F" w14:textId="77777777" w:rsidR="004176C3" w:rsidRPr="00A4252C" w:rsidRDefault="004176C3" w:rsidP="00527B02">
      <w:pPr>
        <w:autoSpaceDE w:val="0"/>
        <w:autoSpaceDN w:val="0"/>
        <w:adjustRightInd w:val="0"/>
        <w:rPr>
          <w:rFonts w:cs="Arial"/>
          <w:bCs/>
          <w:szCs w:val="20"/>
        </w:rPr>
      </w:pPr>
      <w:r w:rsidRPr="00A4252C">
        <w:rPr>
          <w:rFonts w:cs="Arial"/>
          <w:b/>
          <w:bCs/>
          <w:szCs w:val="20"/>
        </w:rPr>
        <w:t xml:space="preserve">Posizione lavorativa a tempo determinato (CO): </w:t>
      </w:r>
      <w:r w:rsidRPr="00A4252C">
        <w:rPr>
          <w:rFonts w:cs="Arial"/>
          <w:bCs/>
          <w:szCs w:val="20"/>
        </w:rPr>
        <w:t>rapporto di lavoro di tipo subordinato in cui è prevista una data di fine del rapporto. La legge definisce una durata massima del contratto a termine e ne disciplina la proroga. Nel caso di violazione di tali disposizioni, si determina la trasformazione a tempo indeterminato del contratto.</w:t>
      </w:r>
    </w:p>
    <w:p w14:paraId="6A94F9C4" w14:textId="727D5709" w:rsidR="004176C3" w:rsidRPr="00A4252C" w:rsidRDefault="004176C3" w:rsidP="00527B02">
      <w:pPr>
        <w:tabs>
          <w:tab w:val="left" w:pos="9638"/>
        </w:tabs>
        <w:autoSpaceDE w:val="0"/>
        <w:autoSpaceDN w:val="0"/>
        <w:adjustRightInd w:val="0"/>
        <w:rPr>
          <w:rFonts w:cs="Arial"/>
          <w:bCs/>
          <w:szCs w:val="20"/>
        </w:rPr>
      </w:pPr>
      <w:r w:rsidRPr="00A4252C">
        <w:rPr>
          <w:rFonts w:cs="Arial"/>
          <w:b/>
          <w:bCs/>
          <w:szCs w:val="20"/>
        </w:rPr>
        <w:t>Posizione lavorativa a tempo indeterminato (CO):</w:t>
      </w:r>
      <w:r w:rsidRPr="00A4252C">
        <w:rPr>
          <w:rFonts w:cs="Arial"/>
          <w:bCs/>
          <w:szCs w:val="20"/>
        </w:rPr>
        <w:t xml:space="preserve"> </w:t>
      </w:r>
      <w:r w:rsidR="00DC75FE" w:rsidRPr="00A4252C">
        <w:rPr>
          <w:rFonts w:cs="Arial"/>
          <w:bCs/>
          <w:szCs w:val="20"/>
        </w:rPr>
        <w:t xml:space="preserve">il </w:t>
      </w:r>
      <w:r w:rsidRPr="00A4252C">
        <w:rPr>
          <w:rFonts w:cs="Arial"/>
          <w:bCs/>
          <w:szCs w:val="20"/>
        </w:rPr>
        <w:t>rapporto di lavoro a tempo indeterminato è un contratto di lavoro subordinato con cui un soggetto (il lavoratore) si impegna, senza vincolo di durata – dietro versamento di una retribuzione – a prestare la propria attività lavorativa a favore del proprio datore di lavoro.</w:t>
      </w:r>
    </w:p>
    <w:p w14:paraId="703ECA83" w14:textId="501F3129" w:rsidR="004176C3" w:rsidRPr="00A4252C" w:rsidRDefault="004176C3" w:rsidP="00527B02">
      <w:pPr>
        <w:autoSpaceDE w:val="0"/>
        <w:autoSpaceDN w:val="0"/>
        <w:adjustRightInd w:val="0"/>
        <w:rPr>
          <w:rFonts w:cs="Arial"/>
          <w:bCs/>
          <w:szCs w:val="20"/>
        </w:rPr>
      </w:pPr>
      <w:r w:rsidRPr="00A4252C">
        <w:rPr>
          <w:rFonts w:cs="Arial"/>
          <w:b/>
          <w:bCs/>
          <w:szCs w:val="20"/>
        </w:rPr>
        <w:t xml:space="preserve">Posizione lavorativa dipendente (CO): </w:t>
      </w:r>
      <w:r w:rsidRPr="00A4252C">
        <w:rPr>
          <w:rFonts w:cs="Arial"/>
          <w:bCs/>
          <w:szCs w:val="20"/>
        </w:rPr>
        <w:t xml:space="preserve">la comunicazione obbligatoria registra gli eventi (avviamento al lavoro, trasformazione, proroga, cessazione) osservati in un determinato momento temporale. Tali eventi sono gli elementi base su cui si fonda l’intero sistema informativo e di norma </w:t>
      </w:r>
      <w:r w:rsidR="00DC75FE" w:rsidRPr="00A4252C">
        <w:rPr>
          <w:rFonts w:cs="Arial"/>
          <w:bCs/>
          <w:szCs w:val="20"/>
        </w:rPr>
        <w:t xml:space="preserve">sono caratterizzati </w:t>
      </w:r>
      <w:r w:rsidRPr="00A4252C">
        <w:rPr>
          <w:rFonts w:cs="Arial"/>
          <w:bCs/>
          <w:szCs w:val="20"/>
        </w:rPr>
        <w:t xml:space="preserve">da una data di inizio, eventualmente da una data di fine, dal codice fiscale del lavoratore e del datore di lavoro. Tali eventi possono essere aggregati in rapporti di lavoro, considerando tutti gli eventi successivi e contigui che legano due soggetti e concorrono alla creazione di un unico rapporto di lavoro. </w:t>
      </w:r>
    </w:p>
    <w:p w14:paraId="33EBFC86" w14:textId="77777777" w:rsidR="004176C3" w:rsidRPr="00A4252C" w:rsidRDefault="004176C3" w:rsidP="00527B02">
      <w:pPr>
        <w:autoSpaceDE w:val="0"/>
        <w:autoSpaceDN w:val="0"/>
        <w:adjustRightInd w:val="0"/>
        <w:rPr>
          <w:rFonts w:cs="Arial"/>
          <w:bCs/>
          <w:szCs w:val="20"/>
        </w:rPr>
      </w:pPr>
      <w:r w:rsidRPr="00A4252C">
        <w:rPr>
          <w:rFonts w:cs="Arial"/>
          <w:b/>
          <w:bCs/>
          <w:szCs w:val="20"/>
        </w:rPr>
        <w:t xml:space="preserve">Posizione lavorativa dipendente (Oros): </w:t>
      </w:r>
      <w:r w:rsidRPr="00A4252C">
        <w:rPr>
          <w:rFonts w:cs="Arial"/>
          <w:bCs/>
          <w:szCs w:val="20"/>
        </w:rPr>
        <w:t xml:space="preserve">è contraddistinta da contratto di lavoro tra una persona fisica e un’unità economica (impresa o istituzione privata), che prevede lo svolgimento di una prestazione lavorativa a fronte di un compenso (retribuzione). Le posizioni lavorative rappresentano, quindi, il numero di posti di lavoro occupati da lavoratori dipendenti (a tempo pieno e a tempo parziale), indipendentemente dalle ore lavorate, ad una determinata data di riferimento. Come il numero di occupati anche le posizioni lavorative rappresentano pertanto una variabile di stock ad un certo istante nel tempo. Sono inclusi anche i lavoratori che, legati all’unità produttiva da regolare contratto di lavoro, sono temporaneamente assenti per cause varie quali: ferie, permessi, maternità, cassa integrazione guadagni, eccetera. </w:t>
      </w:r>
    </w:p>
    <w:p w14:paraId="7F43811C" w14:textId="77777777" w:rsidR="004176C3" w:rsidRPr="00A4252C" w:rsidRDefault="004176C3" w:rsidP="00527B02">
      <w:pPr>
        <w:autoSpaceDE w:val="0"/>
        <w:autoSpaceDN w:val="0"/>
        <w:adjustRightInd w:val="0"/>
        <w:rPr>
          <w:rFonts w:cs="Arial"/>
          <w:bCs/>
          <w:szCs w:val="20"/>
        </w:rPr>
      </w:pPr>
      <w:r w:rsidRPr="00A4252C">
        <w:rPr>
          <w:rFonts w:cs="Arial"/>
          <w:b/>
          <w:bCs/>
          <w:szCs w:val="20"/>
        </w:rPr>
        <w:t xml:space="preserve">Posizione lavorativa in somministrazione (Oros): </w:t>
      </w:r>
      <w:r w:rsidRPr="00A4252C">
        <w:rPr>
          <w:rFonts w:cs="Arial"/>
          <w:bCs/>
          <w:szCs w:val="20"/>
        </w:rPr>
        <w:t xml:space="preserve">Il lavoro somministrato, ex lavoro interinale, è un contratto in base al quale l’impresa (utilizzatrice) può richiedere manodopera ad agenzie autorizzate (somministratori) iscritte in un apposito Albo tenuto presso il Ministero del lavoro e delle politiche sociali. I lavoratori con contratto di somministrazione vengono rilevati tra i dipendenti delle agenzie di somministrazione di lavoro e non tra i dipendenti delle unità utilizzatrici. Le posizioni in somministrazione non includono il personale delle agenzie fornitrici di lavoro temporaneo assunto con contratto di lavoro </w:t>
      </w:r>
      <w:r w:rsidRPr="00A4252C">
        <w:rPr>
          <w:rFonts w:cs="Arial"/>
          <w:bCs/>
          <w:szCs w:val="20"/>
        </w:rPr>
        <w:lastRenderedPageBreak/>
        <w:t xml:space="preserve">dipendente diverso dalla somministrazione. Il gruppo di attività economica Ateco 2007 in cui è classificata questa tipologia di lavoro è “Attività delle agenzie di lavoro temporaneo (gruppo 78.2)” che rientra nella sezione N “Noleggio, agenzie di viaggio, servizi di supporto alle imprese”. I dati amministrativi relativi alle missioni dei lavoratori in somministrazione vengono ricondotte a posizioni lavorative a tempo pieno. </w:t>
      </w:r>
    </w:p>
    <w:p w14:paraId="5BBD069B"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bCs/>
          <w:szCs w:val="20"/>
        </w:rPr>
      </w:pPr>
      <w:r w:rsidRPr="00A4252C">
        <w:rPr>
          <w:rFonts w:cs="Arial"/>
          <w:b/>
          <w:spacing w:val="-3"/>
          <w:szCs w:val="20"/>
        </w:rPr>
        <w:t xml:space="preserve">Posizione lavorativa intermittente (CO): </w:t>
      </w:r>
      <w:r w:rsidRPr="00A4252C">
        <w:rPr>
          <w:rFonts w:cs="Arial"/>
          <w:bCs/>
          <w:szCs w:val="20"/>
        </w:rPr>
        <w:t xml:space="preserve">Il lavoro intermittente è caratterizzato dalla prestazione a carattere discontinuo resa dal lavoratore secondo le richieste dell’impresa. La comunicazione di questa tipologia di contratto è registrato su SISCO e riguarda solo l’instaurazione del rapporto di lavoro ma non la “chiamata” del lavoratore che il datore è tenuto a comunicare in via telematica. Tale informazione infatti non passa attraverso il sistema amministrativo delle CO ma viene comunicata secondo le modalità definite dal </w:t>
      </w:r>
      <w:hyperlink r:id="rId21" w:tgtFrame="_blank" w:tooltip="vai al decreto" w:history="1">
        <w:r w:rsidRPr="00A4252C">
          <w:rPr>
            <w:rFonts w:cs="Arial"/>
            <w:bCs/>
            <w:szCs w:val="20"/>
          </w:rPr>
          <w:t>decreto interministeriale del 27 marzo 2013</w:t>
        </w:r>
      </w:hyperlink>
      <w:r w:rsidRPr="00A4252C">
        <w:rPr>
          <w:rFonts w:cs="Arial"/>
          <w:bCs/>
          <w:szCs w:val="20"/>
        </w:rPr>
        <w:t xml:space="preserve"> e dalla successiva </w:t>
      </w:r>
      <w:hyperlink r:id="rId22" w:tgtFrame="_blank" w:tooltip="Leggi la Circolare 27 giugno 2013 n.27" w:history="1">
        <w:r w:rsidRPr="00A4252C">
          <w:rPr>
            <w:rFonts w:cs="Arial"/>
            <w:bCs/>
            <w:szCs w:val="20"/>
          </w:rPr>
          <w:t>circolare 27 giugno 2013 n.27</w:t>
        </w:r>
      </w:hyperlink>
      <w:r w:rsidRPr="00A4252C">
        <w:rPr>
          <w:rFonts w:cs="Arial"/>
          <w:bCs/>
          <w:szCs w:val="20"/>
        </w:rPr>
        <w:t xml:space="preserve">. </w:t>
      </w:r>
    </w:p>
    <w:p w14:paraId="7DB356D3" w14:textId="4D80F37F"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Saldi</w:t>
      </w:r>
      <w:r w:rsidRPr="00A4252C">
        <w:rPr>
          <w:rFonts w:cs="Arial"/>
          <w:spacing w:val="-3"/>
          <w:szCs w:val="20"/>
        </w:rPr>
        <w:t>: differenza tra attivazioni e cessazioni (a cui si sommano le trasformazioni nel caso di rapporti a tempo indeterminato o nel caso di rapporti a tempo determinato si sottraggono).</w:t>
      </w:r>
    </w:p>
    <w:p w14:paraId="6416D9C8"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 xml:space="preserve">Scoraggiati (Rfl): </w:t>
      </w:r>
      <w:r w:rsidRPr="00A4252C">
        <w:rPr>
          <w:rFonts w:cs="Arial"/>
          <w:spacing w:val="-3"/>
          <w:szCs w:val="20"/>
        </w:rPr>
        <w:t xml:space="preserve">inattivi di 15-64 anni che non hanno cercato lavoro nelle quattro settimane precedenti l’intervista perché ritengono di non riuscire a trovarne uno. </w:t>
      </w:r>
    </w:p>
    <w:p w14:paraId="5BADB4AE"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Settimana di riferimento (Rfl)</w:t>
      </w:r>
      <w:r w:rsidRPr="00A4252C">
        <w:rPr>
          <w:rFonts w:cs="Arial"/>
          <w:spacing w:val="-3"/>
          <w:szCs w:val="20"/>
        </w:rPr>
        <w:t>: nella Rilevazione sulle forze di lavoro è la settimana a cui fanno riferimento le informazioni raccolte (in genere quella che precede l’intervista).</w:t>
      </w:r>
    </w:p>
    <w:p w14:paraId="31F96E0C"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i/>
          <w:spacing w:val="-3"/>
          <w:szCs w:val="20"/>
        </w:rPr>
      </w:pPr>
      <w:r w:rsidRPr="00A4252C">
        <w:rPr>
          <w:rFonts w:cs="Arial"/>
          <w:b/>
          <w:spacing w:val="-3"/>
          <w:szCs w:val="20"/>
        </w:rPr>
        <w:t>Stock</w:t>
      </w:r>
      <w:r w:rsidRPr="00A4252C">
        <w:rPr>
          <w:rFonts w:cs="Arial"/>
          <w:spacing w:val="-3"/>
          <w:szCs w:val="20"/>
        </w:rPr>
        <w:t>: una variabile di stock (o consistenza) rappresenta la dimensione di un fenomeno rilevata in un certo istante di tempo, ed è pertanto suscettibile di variazioni continue nel corso del tempo (come ad esempio la popolazione residente o il numero di occupati); una variabile di flusso rappresenta invece il conteggio di un fenomeno nel corso di un periodo di tempo (il numero di nati, morti, immigrati o emigrati, oppure, il numero di persone che hanno trovato o perso il lavoro in un certo periodo di tempo). La variazione dello stock tra due istanti di tempo può essere pertanto descritta in modo coerente e compiuto come il risultato di un complesso di flussi che si sono manifestati con una certa intensità nel periodo intercorrente.</w:t>
      </w:r>
      <w:r w:rsidRPr="00A4252C">
        <w:rPr>
          <w:rFonts w:cs="Arial"/>
          <w:i/>
          <w:spacing w:val="-3"/>
          <w:szCs w:val="20"/>
        </w:rPr>
        <w:t xml:space="preserve"> </w:t>
      </w:r>
    </w:p>
    <w:p w14:paraId="48FF9F58"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Tasso di attività (Rfl):</w:t>
      </w:r>
      <w:r w:rsidRPr="00A4252C">
        <w:rPr>
          <w:rFonts w:cs="Arial"/>
          <w:spacing w:val="-3"/>
          <w:szCs w:val="20"/>
        </w:rPr>
        <w:t xml:space="preserve"> rapporto percentuale tra le persone appartenenti alle forze di lavoro in una determinata classe di età (in genere 15-64 anni) e la popolazione residente totale di quella determinata classe di età. </w:t>
      </w:r>
    </w:p>
    <w:p w14:paraId="1190DCC5"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Tasso di disoccupazione (Rfl):</w:t>
      </w:r>
      <w:r w:rsidRPr="00A4252C">
        <w:rPr>
          <w:rFonts w:cs="Arial"/>
          <w:spacing w:val="-3"/>
          <w:szCs w:val="20"/>
        </w:rPr>
        <w:t xml:space="preserve"> rapporto percentuale tra i disoccupati di una determinata classe di età (in genere 15 anni e più) e l'insieme di occupati e disoccupati (la cui somma costituisce le forze di lavoro) della stessa classe di età.</w:t>
      </w:r>
      <w:r w:rsidRPr="00A4252C">
        <w:rPr>
          <w:rFonts w:cs="Arial"/>
          <w:color w:val="FF0000"/>
          <w:spacing w:val="-3"/>
          <w:szCs w:val="20"/>
        </w:rPr>
        <w:t xml:space="preserve"> </w:t>
      </w:r>
    </w:p>
    <w:p w14:paraId="7D723752"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Tasso di inattività (Rfl):</w:t>
      </w:r>
      <w:r w:rsidRPr="00A4252C">
        <w:rPr>
          <w:rFonts w:cs="Arial"/>
          <w:spacing w:val="-3"/>
          <w:szCs w:val="20"/>
        </w:rPr>
        <w:t xml:space="preserve"> rapporto percentuale tra le persone non appartenenti alle forze di lavoro in una determinata classe di età (in genere 15-64 anni) e la popolazione residente totale di quella determinata classe di età. </w:t>
      </w:r>
    </w:p>
    <w:p w14:paraId="21C1491D"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Tasso di occupazione (Rfl):</w:t>
      </w:r>
      <w:r w:rsidRPr="00A4252C">
        <w:rPr>
          <w:rFonts w:cs="Arial"/>
          <w:spacing w:val="-3"/>
          <w:szCs w:val="20"/>
        </w:rPr>
        <w:t xml:space="preserve"> rapporto percentuale tra gli occupati di una determinata classe di età (in genere 15-64 anni) e la popolazione residente totale di quella determinata classe di età.</w:t>
      </w:r>
    </w:p>
    <w:p w14:paraId="0F1EAEFC" w14:textId="77777777" w:rsidR="004176C3" w:rsidRPr="00A4252C" w:rsidRDefault="004176C3" w:rsidP="00527B02">
      <w:pPr>
        <w:pStyle w:val="Paragrafoelenco1"/>
        <w:autoSpaceDE w:val="0"/>
        <w:autoSpaceDN w:val="0"/>
        <w:adjustRightInd w:val="0"/>
        <w:ind w:left="0"/>
        <w:contextualSpacing w:val="0"/>
        <w:rPr>
          <w:rFonts w:cs="Arial"/>
          <w:spacing w:val="-3"/>
          <w:szCs w:val="20"/>
        </w:rPr>
      </w:pPr>
      <w:r w:rsidRPr="00A4252C">
        <w:rPr>
          <w:rFonts w:cs="Arial"/>
          <w:b/>
          <w:bCs/>
          <w:szCs w:val="20"/>
        </w:rPr>
        <w:t>Trasformazioni (CO):</w:t>
      </w:r>
      <w:r w:rsidRPr="00A4252C">
        <w:rPr>
          <w:rFonts w:cs="Arial"/>
          <w:bCs/>
          <w:szCs w:val="20"/>
        </w:rPr>
        <w:t xml:space="preserve"> la trasformazione di un rapporto di lavoro registra un evento modificativo del rapporto di lavoro. Si ha una trasformazione quando il prolungamento del rapporto iniziale di lavoro comporta una trasformazione legale dello stesso da contratto a termine a contratto a tempo indeterminato, da tempo parziale a tempo pieno, da apprendistato a contratto a tempo indeterminato, da contratto di inserimento a contratto a tempo indeterminato. Queste trasformazioni sono soggette agli obblighi di comunicazione (entro cinque giorni dal verificarsi dell’evento) previsti dalla normativa vigente. Nel presente comunicato sono presi in esame le sole trasformazioni di contratti a tempo determinato in contratti a tempo indeterminato. La trasformazione da contratto di apprendistato a contratto a tempo indeterminato non è più prevista per i contratti di apprendistato instaurati dopo l’entrata in vigore del Testo unico sull’Apprendistato (D.Lgs. n.167 del</w:t>
      </w:r>
      <w:r w:rsidRPr="00A4252C">
        <w:rPr>
          <w:rFonts w:cs="Arial"/>
          <w:color w:val="1A1A1A"/>
          <w:szCs w:val="20"/>
        </w:rPr>
        <w:t xml:space="preserve"> </w:t>
      </w:r>
      <w:r w:rsidRPr="00A4252C">
        <w:rPr>
          <w:rFonts w:cs="Arial"/>
          <w:bCs/>
          <w:szCs w:val="20"/>
        </w:rPr>
        <w:t>25 ottobre 2011).</w:t>
      </w:r>
      <w:r w:rsidRPr="00A4252C">
        <w:rPr>
          <w:rFonts w:cs="Arial"/>
          <w:spacing w:val="-3"/>
          <w:szCs w:val="20"/>
        </w:rPr>
        <w:t xml:space="preserve"> </w:t>
      </w:r>
    </w:p>
    <w:p w14:paraId="272BBE08" w14:textId="77777777" w:rsidR="004176C3" w:rsidRPr="00A4252C" w:rsidRDefault="004176C3" w:rsidP="00527B02">
      <w:pPr>
        <w:autoSpaceDE w:val="0"/>
        <w:autoSpaceDN w:val="0"/>
        <w:adjustRightInd w:val="0"/>
        <w:rPr>
          <w:rFonts w:cs="Arial"/>
          <w:bCs/>
          <w:szCs w:val="20"/>
        </w:rPr>
      </w:pPr>
      <w:r w:rsidRPr="00A4252C">
        <w:rPr>
          <w:rFonts w:cs="Arial"/>
          <w:b/>
          <w:bCs/>
          <w:szCs w:val="20"/>
        </w:rPr>
        <w:t>Unità di lavoro equivalenti a tempo pieno-Ula (Cn)</w:t>
      </w:r>
      <w:r w:rsidRPr="00A4252C">
        <w:rPr>
          <w:rFonts w:cs="Arial"/>
          <w:bCs/>
          <w:szCs w:val="20"/>
        </w:rPr>
        <w:t>: negli schemi di contabilità nazionale le unità di lavoro rappresentano le posizioni lavorative ricondotte a unità equivalenti a tempo pieno e forniscono una misura del volume di lavoro che partecipa al processo di produzione del reddito realizzato sul territorio economico di un paese. Tale calcolo è necessario in quanto le ore lavorate in ciascuna posizione lavorativa possono variare rispetto a uno standard a tempo pieno, a seconda che si tratti di attività principale o secondaria svolta dalla persona, dell’orario di lavoro (a tempo pieno o part time), della posizione contributiva o fiscale (regolare, non regolare). Le unità di lavoro sono calcolate come quoziente tra il totale delle ore effettivamente lavorate ed un numero standard di ore lavorate in media da una posizione a tempo pieno.</w:t>
      </w:r>
    </w:p>
    <w:p w14:paraId="5426137E"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spacing w:val="-3"/>
          <w:szCs w:val="20"/>
        </w:rPr>
      </w:pPr>
      <w:r w:rsidRPr="00A4252C">
        <w:rPr>
          <w:rFonts w:cs="Arial"/>
          <w:b/>
          <w:spacing w:val="-3"/>
          <w:szCs w:val="20"/>
        </w:rPr>
        <w:t>Variazione congiunturale:</w:t>
      </w:r>
      <w:r w:rsidRPr="00A4252C">
        <w:rPr>
          <w:rFonts w:cs="Arial"/>
          <w:spacing w:val="-3"/>
          <w:szCs w:val="20"/>
        </w:rPr>
        <w:t xml:space="preserve"> variazione assoluta o percentuale rispetto al mese o periodo immediatamente precedente.</w:t>
      </w:r>
    </w:p>
    <w:p w14:paraId="53C6B9C4" w14:textId="77777777" w:rsidR="004176C3" w:rsidRPr="00A4252C" w:rsidRDefault="004176C3" w:rsidP="00527B02">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rPr>
          <w:rFonts w:cs="Arial"/>
          <w:bCs/>
          <w:szCs w:val="20"/>
        </w:rPr>
      </w:pPr>
      <w:r w:rsidRPr="00A4252C">
        <w:rPr>
          <w:rFonts w:cs="Arial"/>
          <w:b/>
          <w:spacing w:val="-3"/>
          <w:szCs w:val="20"/>
        </w:rPr>
        <w:t>Variazione tendenziale:</w:t>
      </w:r>
      <w:r w:rsidRPr="00A4252C">
        <w:rPr>
          <w:rFonts w:cs="Arial"/>
          <w:spacing w:val="-3"/>
          <w:szCs w:val="20"/>
        </w:rPr>
        <w:t xml:space="preserve"> </w:t>
      </w:r>
      <w:r w:rsidRPr="00A4252C">
        <w:rPr>
          <w:rFonts w:cs="Arial"/>
          <w:bCs/>
          <w:szCs w:val="20"/>
        </w:rPr>
        <w:t xml:space="preserve">variazione </w:t>
      </w:r>
      <w:r w:rsidRPr="00A4252C">
        <w:rPr>
          <w:rFonts w:cs="Arial"/>
          <w:spacing w:val="-3"/>
          <w:szCs w:val="20"/>
        </w:rPr>
        <w:t xml:space="preserve">assoluta o </w:t>
      </w:r>
      <w:r w:rsidRPr="00A4252C">
        <w:rPr>
          <w:rFonts w:cs="Arial"/>
          <w:bCs/>
          <w:szCs w:val="20"/>
        </w:rPr>
        <w:t xml:space="preserve">percentuale rispetto allo stesso mese o periodo dell’anno precedente. </w:t>
      </w:r>
    </w:p>
    <w:p w14:paraId="4B3030E5" w14:textId="152FE563" w:rsidR="004176C3" w:rsidRPr="00A4252C" w:rsidRDefault="004176C3" w:rsidP="00C13A4E">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 w:rsidRPr="00A4252C">
        <w:rPr>
          <w:rFonts w:cs="Arial"/>
          <w:b/>
          <w:spacing w:val="-3"/>
          <w:szCs w:val="20"/>
        </w:rPr>
        <w:lastRenderedPageBreak/>
        <w:t>Voucher (</w:t>
      </w:r>
      <w:r w:rsidRPr="00A4252C">
        <w:rPr>
          <w:rFonts w:cs="Arial"/>
          <w:b/>
          <w:lang w:eastAsia="it-IT"/>
        </w:rPr>
        <w:t>Inps</w:t>
      </w:r>
      <w:r w:rsidRPr="00A4252C">
        <w:rPr>
          <w:rFonts w:cs="Arial"/>
          <w:b/>
          <w:spacing w:val="-3"/>
          <w:szCs w:val="20"/>
        </w:rPr>
        <w:t xml:space="preserve">): </w:t>
      </w:r>
      <w:r w:rsidRPr="00A4252C">
        <w:rPr>
          <w:rFonts w:cs="Arial"/>
          <w:bCs/>
          <w:szCs w:val="20"/>
        </w:rPr>
        <w:t>buoni lavoro per retribuire le prestazioni di lavoro di tipo accessorio. Il valore nominale di ogni singolo buono o voucher, è pari a 10 euro. Tale valore nominale è comprensivo della contribuzione a favore della Gestione separata Inps (convenzionalmente stabilita per questa tipologia lavorativa nell’aliquota del 13%), di quella in favore dell’Inail (7%) e di una quota pari al 5% per la gestione del servizio. La vendita avviene con modalità di distribuzione che sono andate aumentando negli anni. Inizialmente i canali erano due: le sedi provinciali Inps (si tratta del tradizionale voucher cartaceo) ed un’apposita procedura telematica. Nel 2010 una convenzione con la Federazione Italiana dei Tabaccai ha introdotto il terzo canale, e altri due si sono aggiunti a partire dall’anno successivo: prima le Banche Popolari e poi gli</w:t>
      </w:r>
      <w:r w:rsidRPr="00A4252C">
        <w:rPr>
          <w:rFonts w:cs="Arial"/>
          <w:bCs/>
        </w:rPr>
        <w:t xml:space="preserve"> uffici postali. Dal 17 marzo 2017 i voucher non sono più in vendita e quelli acquistati prima dell’abrogazione potranno essere utilizzati fino al 31 dicembre 2017.</w:t>
      </w:r>
    </w:p>
    <w:p w14:paraId="12D08E72" w14:textId="77777777" w:rsidR="004176C3" w:rsidRPr="00A4252C" w:rsidRDefault="004176C3" w:rsidP="00745EB7">
      <w:pPr>
        <w:spacing w:after="200" w:line="276" w:lineRule="auto"/>
        <w:jc w:val="left"/>
        <w:rPr>
          <w:b/>
          <w:caps/>
          <w:sz w:val="28"/>
          <w:szCs w:val="28"/>
        </w:rPr>
      </w:pPr>
      <w:r w:rsidRPr="00A4252C">
        <w:rPr>
          <w:caps/>
          <w:sz w:val="28"/>
          <w:szCs w:val="28"/>
        </w:rPr>
        <w:br w:type="page"/>
      </w:r>
      <w:r w:rsidRPr="00A4252C">
        <w:rPr>
          <w:b/>
          <w:caps/>
          <w:sz w:val="28"/>
          <w:szCs w:val="28"/>
        </w:rPr>
        <w:lastRenderedPageBreak/>
        <w:t>Nota metodologica</w:t>
      </w:r>
    </w:p>
    <w:p w14:paraId="65F5694E" w14:textId="77777777" w:rsidR="004176C3" w:rsidRPr="00A4252C" w:rsidRDefault="004176C3" w:rsidP="00C52037">
      <w:r w:rsidRPr="00A4252C">
        <w:t>In questo comunicato vengono utilizzate diverse fonti e forniti, oltre a dati già rilasciati dai singoli Enti, alcuni nuovi indicatori armonizzati e rielaborati. I dati già rilasciati riguardano:</w:t>
      </w:r>
    </w:p>
    <w:p w14:paraId="12D5B087" w14:textId="77777777" w:rsidR="004176C3" w:rsidRPr="00A4252C" w:rsidRDefault="004176C3" w:rsidP="00C52037">
      <w:pPr>
        <w:pStyle w:val="elenco"/>
      </w:pPr>
      <w:r w:rsidRPr="00A4252C">
        <w:t xml:space="preserve">quelli relativi alla Rilevazione sulle forze di lavoro, Istat; </w:t>
      </w:r>
    </w:p>
    <w:p w14:paraId="2AE1E0B1" w14:textId="77777777" w:rsidR="004176C3" w:rsidRPr="00A4252C" w:rsidRDefault="004176C3" w:rsidP="00C52037">
      <w:pPr>
        <w:pStyle w:val="elenco"/>
      </w:pPr>
      <w:r w:rsidRPr="00A4252C">
        <w:t>quelli che derivano dall’Osservatorio sul precariato, Inps;</w:t>
      </w:r>
    </w:p>
    <w:p w14:paraId="3675C23D" w14:textId="77777777" w:rsidR="004176C3" w:rsidRPr="00A4252C" w:rsidRDefault="004176C3" w:rsidP="00C52037">
      <w:pPr>
        <w:pStyle w:val="elenco"/>
      </w:pPr>
      <w:r w:rsidRPr="00A4252C">
        <w:t xml:space="preserve">le denunce di infortunio sul lavoro pervenute all’Inail. </w:t>
      </w:r>
    </w:p>
    <w:p w14:paraId="5EA97321" w14:textId="77777777" w:rsidR="004176C3" w:rsidRPr="00A4252C" w:rsidRDefault="004176C3" w:rsidP="00FD5D56">
      <w:pPr>
        <w:ind w:right="-1"/>
        <w:rPr>
          <w:rFonts w:cs="Arial"/>
          <w:spacing w:val="-3"/>
          <w:szCs w:val="20"/>
        </w:rPr>
      </w:pPr>
      <w:r w:rsidRPr="00A4252C">
        <w:rPr>
          <w:rFonts w:cs="Arial"/>
          <w:spacing w:val="-3"/>
          <w:szCs w:val="20"/>
        </w:rPr>
        <w:t xml:space="preserve">I nuovi indicatori riguardano: </w:t>
      </w:r>
    </w:p>
    <w:p w14:paraId="25B29214" w14:textId="77777777" w:rsidR="004176C3" w:rsidRPr="00A4252C" w:rsidRDefault="004176C3" w:rsidP="00C52037">
      <w:pPr>
        <w:pStyle w:val="elenco"/>
      </w:pPr>
      <w:r w:rsidRPr="00A4252C">
        <w:t>la rielaborazione delle Comunicazioni obbligatorie del Ministero del lavoro e delle politiche sociali (rapporti di lavoro attivati, cessati, prorogati e trasformati);</w:t>
      </w:r>
    </w:p>
    <w:p w14:paraId="4E9AE1FB" w14:textId="77777777" w:rsidR="004176C3" w:rsidRPr="00A4252C" w:rsidRDefault="004176C3" w:rsidP="00C52037">
      <w:pPr>
        <w:pStyle w:val="elenco"/>
      </w:pPr>
      <w:r w:rsidRPr="00A4252C">
        <w:t xml:space="preserve">i valori assoluti del numero delle posizioni lavorative nelle imprese dell’industria e dei servizi, Istat (Rilevazioni Oros e Grandi imprese). </w:t>
      </w:r>
    </w:p>
    <w:p w14:paraId="26DC366C" w14:textId="77777777" w:rsidR="004176C3" w:rsidRPr="00A4252C" w:rsidRDefault="004176C3" w:rsidP="00C52037">
      <w:pPr>
        <w:ind w:right="-1"/>
        <w:rPr>
          <w:rFonts w:cs="Arial"/>
          <w:spacing w:val="-3"/>
          <w:szCs w:val="20"/>
        </w:rPr>
      </w:pPr>
      <w:r w:rsidRPr="00A4252C">
        <w:rPr>
          <w:rFonts w:cs="Arial"/>
          <w:spacing w:val="-3"/>
          <w:szCs w:val="20"/>
        </w:rPr>
        <w:t xml:space="preserve">Riguardo alle caratteristiche metodologiche delle fonti originarie si veda il Prospetto 1 “Le caratteristiche delle fonti originali dei dati sull’occupazione” e il prospetto sintetico (Prospetto 2). </w:t>
      </w:r>
    </w:p>
    <w:p w14:paraId="692097B6" w14:textId="77777777" w:rsidR="004176C3" w:rsidRPr="00A4252C" w:rsidRDefault="004176C3" w:rsidP="00C52037">
      <w:pPr>
        <w:ind w:right="-1"/>
        <w:rPr>
          <w:rFonts w:cs="Arial"/>
          <w:spacing w:val="-3"/>
          <w:szCs w:val="20"/>
        </w:rPr>
      </w:pPr>
      <w:r w:rsidRPr="00A4252C">
        <w:rPr>
          <w:rFonts w:cs="Arial"/>
          <w:spacing w:val="-3"/>
          <w:szCs w:val="20"/>
        </w:rPr>
        <w:t>In sintesi va ricordato che le fonti si differenziano per tre ragioni principali:</w:t>
      </w:r>
    </w:p>
    <w:p w14:paraId="22691017" w14:textId="77777777" w:rsidR="004176C3" w:rsidRPr="00A4252C" w:rsidRDefault="004176C3" w:rsidP="00C52037">
      <w:pPr>
        <w:numPr>
          <w:ilvl w:val="0"/>
          <w:numId w:val="15"/>
        </w:numPr>
        <w:ind w:left="426" w:right="-1" w:firstLine="0"/>
        <w:rPr>
          <w:rFonts w:cs="Arial"/>
          <w:szCs w:val="20"/>
        </w:rPr>
      </w:pPr>
      <w:r w:rsidRPr="00A4252C">
        <w:rPr>
          <w:rFonts w:cs="Arial"/>
          <w:szCs w:val="20"/>
        </w:rPr>
        <w:t>l’unità o l’aggregato statistico di riferimento (posizioni lavorative, occupati, rapporti di lavoro; stock o flussi);</w:t>
      </w:r>
    </w:p>
    <w:p w14:paraId="339AF635" w14:textId="77777777" w:rsidR="004176C3" w:rsidRPr="00A4252C" w:rsidRDefault="004176C3" w:rsidP="00C52037">
      <w:pPr>
        <w:numPr>
          <w:ilvl w:val="0"/>
          <w:numId w:val="15"/>
        </w:numPr>
        <w:ind w:left="426" w:right="-1" w:firstLine="0"/>
        <w:rPr>
          <w:rFonts w:cs="Arial"/>
          <w:szCs w:val="20"/>
        </w:rPr>
      </w:pPr>
      <w:r w:rsidRPr="00A4252C">
        <w:rPr>
          <w:rFonts w:cs="Arial"/>
          <w:szCs w:val="20"/>
        </w:rPr>
        <w:t>il campo di osservazione settoriale (l’intera economia come nelle forze di lavoro o una sua parte come nel caso delle CO, in Oros o nell’Osservatorio sul precariato) o di tipologia occupazionale/contrattuale;</w:t>
      </w:r>
    </w:p>
    <w:p w14:paraId="5AE41D67" w14:textId="77777777" w:rsidR="004176C3" w:rsidRPr="00A4252C" w:rsidRDefault="004176C3" w:rsidP="00C52037">
      <w:pPr>
        <w:numPr>
          <w:ilvl w:val="0"/>
          <w:numId w:val="15"/>
        </w:numPr>
        <w:ind w:left="426" w:right="-1" w:firstLine="0"/>
        <w:rPr>
          <w:rFonts w:cs="Arial"/>
          <w:szCs w:val="20"/>
        </w:rPr>
      </w:pPr>
      <w:r w:rsidRPr="00A4252C">
        <w:rPr>
          <w:rFonts w:cs="Arial"/>
          <w:szCs w:val="20"/>
        </w:rPr>
        <w:t>il metodo di misura che comporta l'adozione di definizioni "operative", specifiche delle fonti (dato puntuale alla fine del periodo, medie del periodo osservato, somme trimestrali di dati giornalieri, medie trimestrali di dati settimanali; medie trimestrali di dati mensili, etc.).</w:t>
      </w:r>
    </w:p>
    <w:p w14:paraId="7C48E390" w14:textId="77777777" w:rsidR="004176C3" w:rsidRPr="00A4252C" w:rsidRDefault="004176C3" w:rsidP="00C13A4E">
      <w:pPr>
        <w:ind w:right="-1"/>
        <w:rPr>
          <w:rFonts w:cs="Arial"/>
          <w:szCs w:val="20"/>
        </w:rPr>
      </w:pPr>
      <w:r w:rsidRPr="00A4252C">
        <w:rPr>
          <w:rFonts w:cs="Arial"/>
          <w:szCs w:val="20"/>
        </w:rPr>
        <w:t xml:space="preserve">In questa nota metodologica vengono descritte in dettaglio tutte le differenze fra le fonti prese in esame e, nel caso delle Comunicazioni obbligatorie, viene avviata una rielaborazione che consente una maggiore comparabilità con le informazioni di fonte Istat (controllando per il campo di osservazione e per i metodi di misura). </w:t>
      </w:r>
    </w:p>
    <w:p w14:paraId="134F01C7" w14:textId="77777777" w:rsidR="004176C3" w:rsidRPr="00A4252C" w:rsidRDefault="004176C3" w:rsidP="00C13A4E">
      <w:pPr>
        <w:ind w:right="-1"/>
        <w:rPr>
          <w:rFonts w:cs="Arial"/>
          <w:szCs w:val="20"/>
        </w:rPr>
      </w:pPr>
      <w:r w:rsidRPr="00A4252C">
        <w:rPr>
          <w:rFonts w:cs="Arial"/>
          <w:szCs w:val="20"/>
        </w:rPr>
        <w:t xml:space="preserve">In relazione ai nuovi indicatori, le informazioni che seguono descrivono le caratteristiche e il trattamento metodologico adottato. </w:t>
      </w:r>
    </w:p>
    <w:p w14:paraId="5903E983" w14:textId="77777777" w:rsidR="004176C3" w:rsidRPr="00A4252C" w:rsidRDefault="004176C3" w:rsidP="00C13A4E">
      <w:pPr>
        <w:ind w:right="-1"/>
        <w:rPr>
          <w:rFonts w:cs="Arial"/>
          <w:szCs w:val="20"/>
        </w:rPr>
      </w:pPr>
      <w:r w:rsidRPr="00A4252C">
        <w:rPr>
          <w:rFonts w:cs="Arial"/>
          <w:szCs w:val="20"/>
        </w:rPr>
        <w:t>I dati assoluti sono elaborati all’unità e vengono arrotondati alle migliaia nei valori e nelle variazioni assolute. Le variazioni sono calcolate sui dati all’unità e non su quelli arrotondati alle migliaia. Nelle variazioni percentuali, nei tassi e nelle differenze in punti percentuali l’arrotondamento è al primo decimale. Le variazioni in punti percentuali tra i tassi vengono calcolate sui tassi con tutti i decimali prima di essere approssimate.</w:t>
      </w:r>
    </w:p>
    <w:p w14:paraId="354D3C81" w14:textId="77777777" w:rsidR="00C13A4E" w:rsidRPr="00A4252C" w:rsidRDefault="00C13A4E" w:rsidP="00C13A4E">
      <w:pPr>
        <w:ind w:right="-1"/>
        <w:rPr>
          <w:rFonts w:cs="Arial"/>
          <w:szCs w:val="20"/>
        </w:rPr>
      </w:pPr>
    </w:p>
    <w:p w14:paraId="0622259A" w14:textId="77777777" w:rsidR="004176C3" w:rsidRPr="00A4252C" w:rsidRDefault="004176C3" w:rsidP="00C13A4E">
      <w:pPr>
        <w:pStyle w:val="titoletto"/>
      </w:pPr>
      <w:r w:rsidRPr="00A4252C">
        <w:t xml:space="preserve">Comunicazioni </w:t>
      </w:r>
      <w:r w:rsidR="00B07421" w:rsidRPr="00A4252C">
        <w:t>o</w:t>
      </w:r>
      <w:r w:rsidRPr="00A4252C">
        <w:t>bbligatorie rielaborate (Ministero del lavoro e delle politiche sociali)</w:t>
      </w:r>
    </w:p>
    <w:p w14:paraId="670944B5" w14:textId="77777777" w:rsidR="004176C3" w:rsidRPr="00A4252C" w:rsidRDefault="004176C3" w:rsidP="00C13A4E">
      <w:pPr>
        <w:ind w:right="-1"/>
        <w:rPr>
          <w:rFonts w:cs="Arial"/>
          <w:spacing w:val="-3"/>
          <w:szCs w:val="20"/>
        </w:rPr>
      </w:pPr>
      <w:r w:rsidRPr="00A4252C">
        <w:rPr>
          <w:rFonts w:cs="Arial"/>
          <w:spacing w:val="-3"/>
          <w:szCs w:val="20"/>
        </w:rPr>
        <w:t xml:space="preserve">Le Comunicazioni </w:t>
      </w:r>
      <w:r w:rsidR="00B07421" w:rsidRPr="00A4252C">
        <w:rPr>
          <w:rFonts w:cs="Arial"/>
          <w:spacing w:val="-3"/>
          <w:szCs w:val="20"/>
        </w:rPr>
        <w:t>o</w:t>
      </w:r>
      <w:r w:rsidRPr="00A4252C">
        <w:rPr>
          <w:rFonts w:cs="Arial"/>
          <w:spacing w:val="-3"/>
          <w:szCs w:val="20"/>
        </w:rPr>
        <w:t xml:space="preserve">bbligatorie on line cui sono tenuti i datori di lavoro relativamente a tutti i movimenti che interessano i rapporti di lavoro (attivazioni, cessazioni, proroghe, trasformazioni, modifiche dei datori di lavoro) sono state istituite dalla legge 27 dicembre 2006, n. 296, art. 1, commi da 1180 a 1185. I rapporti di lavoro di cui si deve dare comunicazione sono quelli di lavoro subordinato e parte del parasubordinato. </w:t>
      </w:r>
    </w:p>
    <w:p w14:paraId="699DC3B2" w14:textId="77777777" w:rsidR="004176C3" w:rsidRPr="00A4252C" w:rsidRDefault="004176C3" w:rsidP="00C13A4E">
      <w:pPr>
        <w:ind w:right="-1"/>
        <w:rPr>
          <w:rFonts w:cs="Arial"/>
          <w:spacing w:val="-3"/>
          <w:szCs w:val="20"/>
        </w:rPr>
      </w:pPr>
      <w:r w:rsidRPr="00A4252C">
        <w:rPr>
          <w:rFonts w:cs="Arial"/>
          <w:spacing w:val="-3"/>
          <w:szCs w:val="20"/>
        </w:rPr>
        <w:t xml:space="preserve">Con Decreto interministeriale 30 ottobre 2007 del </w:t>
      </w:r>
      <w:hyperlink r:id="rId23" w:tooltip="Ministero del lavoro e della previdenza sociale" w:history="1">
        <w:r w:rsidRPr="00A4252C">
          <w:rPr>
            <w:rFonts w:cs="Arial"/>
            <w:spacing w:val="-3"/>
            <w:szCs w:val="20"/>
          </w:rPr>
          <w:t>Ministero del lavoro e della previdenza sociale</w:t>
        </w:r>
      </w:hyperlink>
      <w:r w:rsidRPr="00A4252C">
        <w:rPr>
          <w:rFonts w:cs="Arial"/>
          <w:spacing w:val="-3"/>
          <w:szCs w:val="20"/>
        </w:rPr>
        <w:t xml:space="preserve"> di concerto con il </w:t>
      </w:r>
      <w:hyperlink r:id="rId24" w:tooltip="Dipartimento per le Riforme e l'Innovazione nella Pubblica Amministrazione" w:history="1">
        <w:r w:rsidRPr="00A4252C">
          <w:rPr>
            <w:rFonts w:cs="Arial"/>
            <w:spacing w:val="-3"/>
            <w:szCs w:val="20"/>
          </w:rPr>
          <w:t>Ministero per le Riforme e l’Innovazione nella pubblica amministrazione</w:t>
        </w:r>
      </w:hyperlink>
      <w:r w:rsidRPr="00A4252C">
        <w:rPr>
          <w:rFonts w:cs="Arial"/>
          <w:spacing w:val="-3"/>
          <w:szCs w:val="20"/>
        </w:rPr>
        <w:t xml:space="preserve">, si sono previste le disposizioni tecniche per l'effettuazione di tale attività. Il sistema è entrato a regime il 1º marzo </w:t>
      </w:r>
      <w:hyperlink r:id="rId25" w:tooltip="2008" w:history="1">
        <w:r w:rsidRPr="00A4252C">
          <w:rPr>
            <w:rFonts w:cs="Arial"/>
            <w:spacing w:val="-3"/>
            <w:szCs w:val="20"/>
          </w:rPr>
          <w:t>2008</w:t>
        </w:r>
      </w:hyperlink>
      <w:r w:rsidRPr="00A4252C">
        <w:rPr>
          <w:rFonts w:cs="Arial"/>
          <w:spacing w:val="-3"/>
          <w:szCs w:val="20"/>
        </w:rPr>
        <w:t xml:space="preserve">. Il sistema è informatizzato e gestito con modalità di cooperazione applicativa da un soggetto centrale - il </w:t>
      </w:r>
      <w:hyperlink r:id="rId26" w:tooltip="Ministero del lavoro e delle politiche sociali" w:history="1">
        <w:r w:rsidRPr="00A4252C">
          <w:rPr>
            <w:rFonts w:cs="Arial"/>
            <w:spacing w:val="-3"/>
            <w:szCs w:val="20"/>
          </w:rPr>
          <w:t>Ministero del lavoro e delle politiche sociali</w:t>
        </w:r>
      </w:hyperlink>
      <w:r w:rsidRPr="00A4252C">
        <w:rPr>
          <w:rFonts w:cs="Arial"/>
          <w:spacing w:val="-3"/>
          <w:szCs w:val="20"/>
        </w:rPr>
        <w:t xml:space="preserve"> - e da altri soggetti - le </w:t>
      </w:r>
      <w:hyperlink r:id="rId27" w:tooltip="Regioni d'Italia" w:history="1">
        <w:r w:rsidRPr="00A4252C">
          <w:rPr>
            <w:rFonts w:cs="Arial"/>
            <w:spacing w:val="-3"/>
            <w:szCs w:val="20"/>
          </w:rPr>
          <w:t>Regioni</w:t>
        </w:r>
      </w:hyperlink>
      <w:r w:rsidRPr="00A4252C">
        <w:rPr>
          <w:rFonts w:cs="Arial"/>
          <w:spacing w:val="-3"/>
          <w:szCs w:val="20"/>
        </w:rPr>
        <w:t>, l'</w:t>
      </w:r>
      <w:hyperlink r:id="rId28" w:tooltip="INPS" w:history="1">
        <w:r w:rsidRPr="00A4252C">
          <w:rPr>
            <w:rFonts w:cs="Arial"/>
            <w:spacing w:val="-3"/>
            <w:szCs w:val="20"/>
          </w:rPr>
          <w:t>Inps</w:t>
        </w:r>
      </w:hyperlink>
      <w:r w:rsidRPr="00A4252C">
        <w:rPr>
          <w:rFonts w:cs="Arial"/>
          <w:spacing w:val="-3"/>
          <w:szCs w:val="20"/>
        </w:rPr>
        <w:t>, l'</w:t>
      </w:r>
      <w:hyperlink r:id="rId29" w:tooltip="INAIL" w:history="1">
        <w:r w:rsidRPr="00A4252C">
          <w:rPr>
            <w:rFonts w:cs="Arial"/>
            <w:spacing w:val="-3"/>
            <w:szCs w:val="20"/>
          </w:rPr>
          <w:t>Inail</w:t>
        </w:r>
      </w:hyperlink>
      <w:r w:rsidRPr="00A4252C">
        <w:rPr>
          <w:rFonts w:cs="Arial"/>
          <w:spacing w:val="-3"/>
          <w:szCs w:val="20"/>
        </w:rPr>
        <w:t xml:space="preserve">, le Prefetture. </w:t>
      </w:r>
    </w:p>
    <w:p w14:paraId="64696BBD" w14:textId="670A3975" w:rsidR="004176C3" w:rsidRPr="00A4252C" w:rsidRDefault="004176C3" w:rsidP="007E69F3">
      <w:pPr>
        <w:ind w:right="-1"/>
        <w:rPr>
          <w:rFonts w:cs="Arial"/>
          <w:spacing w:val="-3"/>
          <w:szCs w:val="20"/>
        </w:rPr>
      </w:pPr>
      <w:r w:rsidRPr="00A4252C">
        <w:rPr>
          <w:rFonts w:cs="Arial"/>
          <w:spacing w:val="-3"/>
          <w:szCs w:val="20"/>
        </w:rPr>
        <w:t>I dati amministrativi pervenuti al nodo centrale sono conservati in un “contenitore” nazionale chiamato repository XML. Il Ministero del lavoro ha messo a punto un protocollo di trattamento dei dati amministrativi avente come obiettivo quello di realizzare il sistema informativo statistico nazionale (SISCO). A tale proposito è stato istituito un Gruppo tecnico inter-istituzionale successivamente formalizzato nel marzo 2013 con decreto del Segretariato Generale del Ministero del lavoro.</w:t>
      </w:r>
    </w:p>
    <w:p w14:paraId="3B5716F7" w14:textId="77777777" w:rsidR="004176C3" w:rsidRPr="00A4252C" w:rsidRDefault="004176C3" w:rsidP="00C13A4E">
      <w:pPr>
        <w:ind w:right="-1"/>
        <w:rPr>
          <w:rFonts w:cs="Arial"/>
          <w:spacing w:val="-3"/>
          <w:szCs w:val="20"/>
        </w:rPr>
      </w:pPr>
      <w:r w:rsidRPr="00A4252C">
        <w:rPr>
          <w:rFonts w:cs="Arial"/>
          <w:spacing w:val="-3"/>
          <w:szCs w:val="20"/>
        </w:rPr>
        <w:lastRenderedPageBreak/>
        <w:t xml:space="preserve">SISCO viene alimentato dalla replica completa dei dati del nodo nazionale a cadenza giornaliera. In particolare ogni singola comunicazione viene fornita a SISCO in una tabella che in un campo contiene il file originario – al quale sono associate altre informazioni quali, ad esempio, la data di ricezione del sistema nazionale – e una breve informativa sullo stato di validità della comunicazione. </w:t>
      </w:r>
    </w:p>
    <w:p w14:paraId="1718CB63" w14:textId="77777777" w:rsidR="004176C3" w:rsidRPr="00A4252C" w:rsidRDefault="004176C3" w:rsidP="00C13A4E">
      <w:r w:rsidRPr="00A4252C">
        <w:t>Ogni trimestre i valori sono rivisti per incorporare le informazioni che si rendono disponibili successivamente alla pubblicazione.</w:t>
      </w:r>
    </w:p>
    <w:p w14:paraId="2D3F5DA6" w14:textId="77777777" w:rsidR="00745EB7" w:rsidRPr="00A4252C" w:rsidRDefault="00745EB7" w:rsidP="00C13A4E">
      <w:pPr>
        <w:rPr>
          <w:rFonts w:cs="Arial"/>
          <w:b/>
          <w:i/>
          <w:color w:val="17365D"/>
          <w:sz w:val="16"/>
        </w:rPr>
      </w:pPr>
    </w:p>
    <w:p w14:paraId="72F8641F" w14:textId="77777777" w:rsidR="004176C3" w:rsidRPr="00A4252C" w:rsidRDefault="004176C3" w:rsidP="00C13A4E">
      <w:pPr>
        <w:rPr>
          <w:rFonts w:cs="Arial"/>
          <w:b/>
          <w:i/>
          <w:color w:val="17365D"/>
        </w:rPr>
      </w:pPr>
      <w:r w:rsidRPr="00A4252C">
        <w:rPr>
          <w:rFonts w:cs="Arial"/>
          <w:b/>
          <w:i/>
          <w:color w:val="17365D"/>
        </w:rPr>
        <w:t>Il trattamento delle misure temporali</w:t>
      </w:r>
    </w:p>
    <w:p w14:paraId="3E25E9A8" w14:textId="77777777" w:rsidR="004176C3" w:rsidRPr="00A4252C" w:rsidRDefault="004176C3" w:rsidP="00C13A4E">
      <w:pPr>
        <w:rPr>
          <w:vertAlign w:val="subscript"/>
        </w:rPr>
      </w:pPr>
      <w:r w:rsidRPr="00A4252C">
        <w:t xml:space="preserve">Il sistema delle Comunicazioni </w:t>
      </w:r>
      <w:r w:rsidR="00B07421" w:rsidRPr="00A4252C">
        <w:t>o</w:t>
      </w:r>
      <w:r w:rsidRPr="00A4252C">
        <w:t xml:space="preserve">bbligatorie (CO) produce dati sui flussi di attivazioni, cessazioni, trasformazioni e proroghe delle posizioni lavorative ma non produce dati sui livelli delle posizioni lavorative, che sono dati di </w:t>
      </w:r>
      <w:r w:rsidRPr="00A4252C">
        <w:rPr>
          <w:i/>
        </w:rPr>
        <w:t>stock</w:t>
      </w:r>
      <w:r w:rsidRPr="00A4252C">
        <w:rPr>
          <w:rStyle w:val="Rimandonotaapidipagina"/>
        </w:rPr>
        <w:footnoteReference w:id="14"/>
      </w:r>
      <w:r w:rsidRPr="00A4252C">
        <w:t xml:space="preserve">. Tuttavia data la relazione tra </w:t>
      </w:r>
      <w:r w:rsidRPr="00A4252C">
        <w:rPr>
          <w:i/>
        </w:rPr>
        <w:t>stock</w:t>
      </w:r>
      <w:r w:rsidRPr="00A4252C">
        <w:t xml:space="preserve"> e flussi è possibile derivare indicazioni sulle variazioni delle posizioni. Infatti, il livello delle posizioni ad un determinato momento temporale è uguale al livello delle posizioni ad un momento temporale precedente più il saldo tra le attivazioni e le cessazioni intercorse tra i due momenti</w:t>
      </w:r>
      <w:r w:rsidRPr="00A4252C">
        <w:rPr>
          <w:rStyle w:val="Rimandonotaapidipagina"/>
        </w:rPr>
        <w:footnoteReference w:id="15"/>
      </w:r>
      <w:r w:rsidRPr="00A4252C">
        <w:t>.</w:t>
      </w:r>
    </w:p>
    <w:p w14:paraId="4F819730" w14:textId="77777777" w:rsidR="004176C3" w:rsidRPr="00A4252C" w:rsidRDefault="004176C3" w:rsidP="00C13A4E">
      <w:r w:rsidRPr="00A4252C">
        <w:t>Il saldo tra numero di attivazioni e cessazioni di un trimestre è quindi pari alla differenza tra il numero di posizioni all’ultimo giorno del trimestre considerato e il numero di posizioni all’ultimo giorno del trimestre precedente. Analogamente, il saldo tra il numero di attivazioni e cessazioni occorse in quattro trimestri consecutivi è pari alla differenza tra il numero di posizioni all’ultimo giorno dell’ultimo trimestre considerato e il numero di posizioni all’ultimo giorno del trimestre precedente al primo. Questi due saldi si possono considerare rispettivamente una variazione congiunturale ed una variazione tendenziale (quindi annua) di posizioni lavorative.</w:t>
      </w:r>
    </w:p>
    <w:p w14:paraId="3991FF61" w14:textId="77777777" w:rsidR="004176C3" w:rsidRPr="00A4252C" w:rsidRDefault="004176C3" w:rsidP="00C13A4E">
      <w:r w:rsidRPr="00A4252C">
        <w:t>Tali variazioni così calcolate risultano, in termini di metodo di misura, diverse da quelle pubblicate a partire da stock di posizioni lavorative come nella rilevazione Oros dell’Istat. Il motivo risiede nel fatto che, nei dati Istat il livello di posizioni lavorative è il livello medio del trimestre e non il livello in un giorno specifico del trimestre. Ne consegue che le variazioni congiunturali sono differenze tra i livelli medi di due trimestri consecutivi e le variazioni tendenziali sono differenze tra il livello medio di un trimestre e il livello medio dello stesso trimestre dell’anno precedente. L’obiettivo della rielaborazione dei dati CO è quello di rendere maggiormente confrontabili tali dati con le misure basate sugli stock medi.</w:t>
      </w:r>
    </w:p>
    <w:p w14:paraId="30FEF824" w14:textId="77777777" w:rsidR="004176C3" w:rsidRPr="00A4252C" w:rsidRDefault="004176C3" w:rsidP="00C13A4E">
      <w:r w:rsidRPr="00A4252C">
        <w:t>Al tal fine occorre partire dai dati giornalieri di attivazioni e cessazioni ed operare nel modo seguente.</w:t>
      </w:r>
    </w:p>
    <w:p w14:paraId="408256FE" w14:textId="77777777" w:rsidR="004176C3" w:rsidRPr="00A4252C" w:rsidRDefault="004176C3" w:rsidP="00C13A4E">
      <w:r w:rsidRPr="00A4252C">
        <w:t>Partendo da un livello iniziale di posizioni, anche arbitrario</w:t>
      </w:r>
      <w:r w:rsidRPr="00A4252C">
        <w:rPr>
          <w:rStyle w:val="Rimandonotaapidipagina"/>
          <w:rFonts w:cs="Arial"/>
          <w:szCs w:val="20"/>
        </w:rPr>
        <w:footnoteReference w:id="16"/>
      </w:r>
      <w:r w:rsidRPr="00A4252C">
        <w:t xml:space="preserve">, a un determinato giorno – il giorno finale </w:t>
      </w:r>
      <w:r w:rsidRPr="00A4252C">
        <w:rPr>
          <w:i/>
        </w:rPr>
        <w:t>f</w:t>
      </w:r>
      <w:r w:rsidRPr="00A4252C">
        <w:t xml:space="preserve"> del trimestre </w:t>
      </w:r>
      <w:r w:rsidRPr="00A4252C">
        <w:rPr>
          <w:i/>
        </w:rPr>
        <w:t>t</w:t>
      </w:r>
      <w:r w:rsidRPr="00A4252C">
        <w:t xml:space="preserve">-1 (indicato con </w:t>
      </w:r>
      <w:r w:rsidRPr="00A4252C">
        <w:rPr>
          <w:i/>
        </w:rPr>
        <w:t>t-1f) –</w:t>
      </w:r>
      <w:r w:rsidRPr="00A4252C">
        <w:t xml:space="preserve"> il livello di posizioni del giorno seguente, ovvero del giorno 1 del trimestre t sarà pari a:</w:t>
      </w:r>
    </w:p>
    <w:p w14:paraId="635026E9" w14:textId="77777777" w:rsidR="004176C3" w:rsidRPr="00A4252C" w:rsidRDefault="004176C3" w:rsidP="00C13A4E">
      <w:pPr>
        <w:rPr>
          <w:lang w:val="en-US"/>
        </w:rPr>
      </w:pPr>
      <w:r w:rsidRPr="00A4252C">
        <w:rPr>
          <w:lang w:val="en-US"/>
        </w:rPr>
        <w:t>P</w:t>
      </w:r>
      <w:r w:rsidRPr="00A4252C">
        <w:rPr>
          <w:vertAlign w:val="subscript"/>
          <w:lang w:val="en-US"/>
        </w:rPr>
        <w:t>t1</w:t>
      </w:r>
      <w:r w:rsidRPr="00A4252C">
        <w:rPr>
          <w:lang w:val="en-US"/>
        </w:rPr>
        <w:t>= P</w:t>
      </w:r>
      <w:r w:rsidRPr="00A4252C">
        <w:rPr>
          <w:vertAlign w:val="subscript"/>
          <w:lang w:val="en-US"/>
        </w:rPr>
        <w:t xml:space="preserve">t-1f </w:t>
      </w:r>
      <w:r w:rsidRPr="00A4252C">
        <w:rPr>
          <w:lang w:val="en-US"/>
        </w:rPr>
        <w:t>+(A</w:t>
      </w:r>
      <w:r w:rsidRPr="00A4252C">
        <w:rPr>
          <w:vertAlign w:val="subscript"/>
          <w:lang w:val="en-US"/>
        </w:rPr>
        <w:t xml:space="preserve">t1 </w:t>
      </w:r>
      <w:r w:rsidRPr="00A4252C">
        <w:rPr>
          <w:lang w:val="en-US"/>
        </w:rPr>
        <w:t>– C</w:t>
      </w:r>
      <w:r w:rsidRPr="00A4252C">
        <w:rPr>
          <w:vertAlign w:val="subscript"/>
          <w:lang w:val="en-US"/>
        </w:rPr>
        <w:t xml:space="preserve">t-1f </w:t>
      </w:r>
      <w:r w:rsidRPr="00A4252C">
        <w:rPr>
          <w:lang w:val="en-US"/>
        </w:rPr>
        <w:t>)</w:t>
      </w:r>
      <w:r w:rsidRPr="00A4252C">
        <w:rPr>
          <w:rStyle w:val="Rimandonotaapidipagina"/>
          <w:rFonts w:cs="Arial"/>
          <w:szCs w:val="20"/>
          <w:lang w:val="en-US"/>
        </w:rPr>
        <w:footnoteReference w:id="17"/>
      </w:r>
    </w:p>
    <w:p w14:paraId="14F1B447" w14:textId="77777777" w:rsidR="004176C3" w:rsidRPr="00A4252C" w:rsidRDefault="004176C3" w:rsidP="00C13A4E">
      <w:r w:rsidRPr="00A4252C">
        <w:t xml:space="preserve">Ovvero alle posizioni al giorno </w:t>
      </w:r>
      <w:r w:rsidRPr="00A4252C">
        <w:rPr>
          <w:i/>
        </w:rPr>
        <w:t>f</w:t>
      </w:r>
      <w:r w:rsidRPr="00A4252C">
        <w:t xml:space="preserve"> del trimestre </w:t>
      </w:r>
      <w:r w:rsidRPr="00A4252C">
        <w:rPr>
          <w:i/>
        </w:rPr>
        <w:t>t</w:t>
      </w:r>
      <w:r w:rsidRPr="00A4252C">
        <w:t xml:space="preserve">-1 più le attivazioni del giorno 1 del trimestre </w:t>
      </w:r>
      <w:r w:rsidRPr="00A4252C">
        <w:rPr>
          <w:i/>
        </w:rPr>
        <w:t>t</w:t>
      </w:r>
      <w:r w:rsidRPr="00A4252C">
        <w:t xml:space="preserve"> meno le cessazioni del giorno </w:t>
      </w:r>
      <w:r w:rsidRPr="00A4252C">
        <w:rPr>
          <w:i/>
        </w:rPr>
        <w:t>f</w:t>
      </w:r>
      <w:r w:rsidRPr="00A4252C">
        <w:t xml:space="preserve"> del trimestre </w:t>
      </w:r>
      <w:r w:rsidRPr="00A4252C">
        <w:rPr>
          <w:i/>
        </w:rPr>
        <w:t>t</w:t>
      </w:r>
      <w:r w:rsidRPr="00A4252C">
        <w:t>-1. La necessità di usare le cessazioni del giorno precedente deriva dal fatto che le posizioni cessate in un giorno non sono più attive dal giorno successivo.</w:t>
      </w:r>
    </w:p>
    <w:p w14:paraId="179DD665" w14:textId="77777777" w:rsidR="004176C3" w:rsidRPr="00A4252C" w:rsidRDefault="004176C3" w:rsidP="00C13A4E">
      <w:r w:rsidRPr="00A4252C">
        <w:t>Definendo con S</w:t>
      </w:r>
      <w:r w:rsidRPr="00A4252C">
        <w:rPr>
          <w:vertAlign w:val="subscript"/>
        </w:rPr>
        <w:t xml:space="preserve"> t1</w:t>
      </w:r>
      <w:r w:rsidRPr="00A4252C">
        <w:t>=(A</w:t>
      </w:r>
      <w:r w:rsidRPr="00A4252C">
        <w:rPr>
          <w:vertAlign w:val="subscript"/>
        </w:rPr>
        <w:t xml:space="preserve">t1 </w:t>
      </w:r>
      <w:r w:rsidRPr="00A4252C">
        <w:t>– C</w:t>
      </w:r>
      <w:r w:rsidRPr="00A4252C">
        <w:rPr>
          <w:vertAlign w:val="subscript"/>
        </w:rPr>
        <w:t xml:space="preserve">t-1f </w:t>
      </w:r>
      <w:r w:rsidRPr="00A4252C">
        <w:t xml:space="preserve">), il saldo tra attivazioni e cessazioni relativo al primo giorno del trimestre </w:t>
      </w:r>
      <w:r w:rsidRPr="00A4252C">
        <w:rPr>
          <w:i/>
        </w:rPr>
        <w:t>t</w:t>
      </w:r>
      <w:r w:rsidRPr="00A4252C">
        <w:t>, la precedente formula può essere espressa come:</w:t>
      </w:r>
    </w:p>
    <w:p w14:paraId="1D36A8ED" w14:textId="77777777" w:rsidR="004176C3" w:rsidRPr="00A4252C" w:rsidRDefault="004176C3" w:rsidP="00C13A4E">
      <w:r w:rsidRPr="00A4252C">
        <w:t>P</w:t>
      </w:r>
      <w:r w:rsidRPr="00A4252C">
        <w:rPr>
          <w:vertAlign w:val="subscript"/>
        </w:rPr>
        <w:t>t1</w:t>
      </w:r>
      <w:r w:rsidRPr="00A4252C">
        <w:t>= P</w:t>
      </w:r>
      <w:r w:rsidRPr="00A4252C">
        <w:rPr>
          <w:vertAlign w:val="subscript"/>
        </w:rPr>
        <w:t xml:space="preserve">t-1f </w:t>
      </w:r>
      <w:r w:rsidRPr="00A4252C">
        <w:t>+S</w:t>
      </w:r>
      <w:r w:rsidRPr="00A4252C">
        <w:rPr>
          <w:vertAlign w:val="subscript"/>
        </w:rPr>
        <w:t xml:space="preserve"> t1.</w:t>
      </w:r>
    </w:p>
    <w:p w14:paraId="54FB4378" w14:textId="77777777" w:rsidR="004176C3" w:rsidRPr="00A4252C" w:rsidRDefault="004176C3" w:rsidP="00C13A4E">
      <w:r w:rsidRPr="00A4252C">
        <w:t>Allo stesso modo per il secondo giorno del trimestre avremo:</w:t>
      </w:r>
    </w:p>
    <w:p w14:paraId="46583559" w14:textId="77777777" w:rsidR="004176C3" w:rsidRPr="00A4252C" w:rsidRDefault="004176C3" w:rsidP="00C13A4E">
      <w:pPr>
        <w:rPr>
          <w:lang w:val="en-US"/>
        </w:rPr>
      </w:pPr>
      <w:r w:rsidRPr="00A4252C">
        <w:rPr>
          <w:lang w:val="en-US"/>
        </w:rPr>
        <w:t>P</w:t>
      </w:r>
      <w:r w:rsidRPr="00A4252C">
        <w:rPr>
          <w:vertAlign w:val="subscript"/>
          <w:lang w:val="en-US"/>
        </w:rPr>
        <w:t>t2</w:t>
      </w:r>
      <w:r w:rsidRPr="00A4252C">
        <w:rPr>
          <w:lang w:val="en-US"/>
        </w:rPr>
        <w:t>= P</w:t>
      </w:r>
      <w:r w:rsidRPr="00A4252C">
        <w:rPr>
          <w:vertAlign w:val="subscript"/>
          <w:lang w:val="en-US"/>
        </w:rPr>
        <w:t xml:space="preserve">t1 </w:t>
      </w:r>
      <w:r w:rsidRPr="00A4252C">
        <w:rPr>
          <w:lang w:val="en-US"/>
        </w:rPr>
        <w:t>+(A</w:t>
      </w:r>
      <w:r w:rsidRPr="00A4252C">
        <w:rPr>
          <w:vertAlign w:val="subscript"/>
          <w:lang w:val="en-US"/>
        </w:rPr>
        <w:t xml:space="preserve">t2 </w:t>
      </w:r>
      <w:r w:rsidRPr="00A4252C">
        <w:rPr>
          <w:lang w:val="en-US"/>
        </w:rPr>
        <w:t>– C</w:t>
      </w:r>
      <w:r w:rsidRPr="00A4252C">
        <w:rPr>
          <w:vertAlign w:val="subscript"/>
          <w:lang w:val="en-US"/>
        </w:rPr>
        <w:t xml:space="preserve">t1 </w:t>
      </w:r>
      <w:r w:rsidRPr="00A4252C">
        <w:rPr>
          <w:lang w:val="en-US"/>
        </w:rPr>
        <w:t>)= P</w:t>
      </w:r>
      <w:r w:rsidRPr="00A4252C">
        <w:rPr>
          <w:vertAlign w:val="subscript"/>
          <w:lang w:val="en-US"/>
        </w:rPr>
        <w:t xml:space="preserve">t-1f </w:t>
      </w:r>
      <w:r w:rsidRPr="00A4252C">
        <w:rPr>
          <w:lang w:val="en-US"/>
        </w:rPr>
        <w:t>+(A</w:t>
      </w:r>
      <w:r w:rsidRPr="00A4252C">
        <w:rPr>
          <w:vertAlign w:val="subscript"/>
          <w:lang w:val="en-US"/>
        </w:rPr>
        <w:t xml:space="preserve">t1 </w:t>
      </w:r>
      <w:r w:rsidRPr="00A4252C">
        <w:rPr>
          <w:lang w:val="en-US"/>
        </w:rPr>
        <w:t>– C</w:t>
      </w:r>
      <w:r w:rsidRPr="00A4252C">
        <w:rPr>
          <w:vertAlign w:val="subscript"/>
          <w:lang w:val="en-US"/>
        </w:rPr>
        <w:t xml:space="preserve">t-1f </w:t>
      </w:r>
      <w:r w:rsidRPr="00A4252C">
        <w:rPr>
          <w:lang w:val="en-US"/>
        </w:rPr>
        <w:t>)+ (A</w:t>
      </w:r>
      <w:r w:rsidRPr="00A4252C">
        <w:rPr>
          <w:vertAlign w:val="subscript"/>
          <w:lang w:val="en-US"/>
        </w:rPr>
        <w:t xml:space="preserve">t2 </w:t>
      </w:r>
      <w:r w:rsidRPr="00A4252C">
        <w:rPr>
          <w:lang w:val="en-US"/>
        </w:rPr>
        <w:t>– C</w:t>
      </w:r>
      <w:r w:rsidRPr="00A4252C">
        <w:rPr>
          <w:vertAlign w:val="subscript"/>
          <w:lang w:val="en-US"/>
        </w:rPr>
        <w:t xml:space="preserve">t1 </w:t>
      </w:r>
      <w:r w:rsidRPr="00A4252C">
        <w:rPr>
          <w:lang w:val="en-US"/>
        </w:rPr>
        <w:t>)= P</w:t>
      </w:r>
      <w:r w:rsidRPr="00A4252C">
        <w:rPr>
          <w:vertAlign w:val="subscript"/>
          <w:lang w:val="en-US"/>
        </w:rPr>
        <w:t xml:space="preserve">t-1f </w:t>
      </w:r>
      <w:r w:rsidRPr="00A4252C">
        <w:rPr>
          <w:lang w:val="en-US"/>
        </w:rPr>
        <w:t>+S</w:t>
      </w:r>
      <w:r w:rsidRPr="00A4252C">
        <w:rPr>
          <w:vertAlign w:val="subscript"/>
          <w:lang w:val="en-US"/>
        </w:rPr>
        <w:t xml:space="preserve"> t1</w:t>
      </w:r>
      <w:r w:rsidRPr="00A4252C">
        <w:rPr>
          <w:lang w:val="en-US"/>
        </w:rPr>
        <w:t>+S</w:t>
      </w:r>
      <w:r w:rsidRPr="00A4252C">
        <w:rPr>
          <w:vertAlign w:val="subscript"/>
          <w:lang w:val="en-US"/>
        </w:rPr>
        <w:t xml:space="preserve"> t2</w:t>
      </w:r>
      <w:r w:rsidRPr="00A4252C">
        <w:rPr>
          <w:lang w:val="en-US"/>
        </w:rPr>
        <w:t>= P</w:t>
      </w:r>
      <w:r w:rsidRPr="00A4252C">
        <w:rPr>
          <w:vertAlign w:val="subscript"/>
          <w:lang w:val="en-US"/>
        </w:rPr>
        <w:t xml:space="preserve">t-1f </w:t>
      </w:r>
      <w:r w:rsidRPr="00A4252C">
        <w:rPr>
          <w:lang w:val="en-US"/>
        </w:rPr>
        <w:t>+S</w:t>
      </w:r>
      <w:r w:rsidRPr="00A4252C">
        <w:rPr>
          <w:vertAlign w:val="superscript"/>
          <w:lang w:val="en-US"/>
        </w:rPr>
        <w:t>c</w:t>
      </w:r>
      <w:r w:rsidRPr="00A4252C">
        <w:rPr>
          <w:vertAlign w:val="subscript"/>
          <w:lang w:val="en-US"/>
        </w:rPr>
        <w:t xml:space="preserve"> t2.</w:t>
      </w:r>
    </w:p>
    <w:p w14:paraId="4103809B" w14:textId="77777777" w:rsidR="004176C3" w:rsidRPr="00A4252C" w:rsidRDefault="004176C3" w:rsidP="00C52037">
      <w:r w:rsidRPr="00A4252C">
        <w:t xml:space="preserve">Ovvero le posizioni al (la fine del) secondo giorno del trimestre </w:t>
      </w:r>
      <w:r w:rsidRPr="00A4252C">
        <w:rPr>
          <w:i/>
        </w:rPr>
        <w:t>t</w:t>
      </w:r>
      <w:r w:rsidRPr="00A4252C">
        <w:t xml:space="preserve"> sono pari al livello iniziale di posizioni (quello alla fine del trimestre </w:t>
      </w:r>
      <w:r w:rsidRPr="00A4252C">
        <w:rPr>
          <w:i/>
        </w:rPr>
        <w:t>t</w:t>
      </w:r>
      <w:r w:rsidRPr="00A4252C">
        <w:t xml:space="preserve">-1) più il saldo giornaliero cumulato fino al secondo giorno del trimestre </w:t>
      </w:r>
      <w:r w:rsidRPr="00A4252C">
        <w:rPr>
          <w:i/>
        </w:rPr>
        <w:t>t</w:t>
      </w:r>
      <w:r w:rsidRPr="00A4252C">
        <w:t xml:space="preserve"> (S</w:t>
      </w:r>
      <w:r w:rsidRPr="00A4252C">
        <w:rPr>
          <w:vertAlign w:val="superscript"/>
        </w:rPr>
        <w:t>c</w:t>
      </w:r>
      <w:r w:rsidRPr="00A4252C">
        <w:rPr>
          <w:vertAlign w:val="subscript"/>
        </w:rPr>
        <w:t xml:space="preserve"> t2</w:t>
      </w:r>
      <w:r w:rsidRPr="00A4252C">
        <w:t>).</w:t>
      </w:r>
    </w:p>
    <w:p w14:paraId="3E699C04" w14:textId="77777777" w:rsidR="004176C3" w:rsidRPr="00A4252C" w:rsidRDefault="004176C3" w:rsidP="00C52037">
      <w:r w:rsidRPr="00A4252C">
        <w:lastRenderedPageBreak/>
        <w:t>Proseguendo di questo passo si possono calcolare gli pseudo</w:t>
      </w:r>
      <w:r w:rsidRPr="00A4252C">
        <w:rPr>
          <w:i/>
        </w:rPr>
        <w:t>-stock</w:t>
      </w:r>
      <w:r w:rsidRPr="00A4252C">
        <w:t xml:space="preserve"> di posizioni per tutti i giorni del trimestre </w:t>
      </w:r>
      <w:r w:rsidRPr="00A4252C">
        <w:rPr>
          <w:i/>
        </w:rPr>
        <w:t>t</w:t>
      </w:r>
      <w:r w:rsidRPr="00A4252C">
        <w:t>, P</w:t>
      </w:r>
      <w:r w:rsidRPr="00A4252C">
        <w:rPr>
          <w:vertAlign w:val="subscript"/>
        </w:rPr>
        <w:t>t1</w:t>
      </w:r>
      <w:r w:rsidRPr="00A4252C">
        <w:t>, P</w:t>
      </w:r>
      <w:r w:rsidRPr="00A4252C">
        <w:rPr>
          <w:vertAlign w:val="subscript"/>
        </w:rPr>
        <w:t>t2</w:t>
      </w:r>
      <w:r w:rsidRPr="00A4252C">
        <w:t>,…, P</w:t>
      </w:r>
      <w:r w:rsidRPr="00A4252C">
        <w:rPr>
          <w:vertAlign w:val="subscript"/>
        </w:rPr>
        <w:t>tf</w:t>
      </w:r>
      <w:r w:rsidRPr="00A4252C">
        <w:t>. Ciascuno di questi valori è pari al livello iniziale di posizioni più il saldo cumulato tra attivazioni e cessazioni fino al giorno in esame.</w:t>
      </w:r>
    </w:p>
    <w:p w14:paraId="749319E5" w14:textId="77777777" w:rsidR="004176C3" w:rsidRPr="00A4252C" w:rsidRDefault="004176C3" w:rsidP="00C52037">
      <w:r w:rsidRPr="00A4252C">
        <w:t xml:space="preserve">La media di tali pseudo </w:t>
      </w:r>
      <w:r w:rsidRPr="00A4252C">
        <w:rPr>
          <w:i/>
        </w:rPr>
        <w:t>stock</w:t>
      </w:r>
      <w:r w:rsidRPr="00A4252C">
        <w:t xml:space="preserve"> sarà pari al livello medio di posizioni nel trimestre considerato (dato lo </w:t>
      </w:r>
      <w:r w:rsidRPr="00A4252C">
        <w:rPr>
          <w:i/>
        </w:rPr>
        <w:t>stock</w:t>
      </w:r>
      <w:r w:rsidRPr="00A4252C">
        <w:t xml:space="preserve"> iniziale):</w:t>
      </w:r>
    </w:p>
    <w:p w14:paraId="4A555B3B" w14:textId="77777777" w:rsidR="004176C3" w:rsidRPr="00A4252C" w:rsidRDefault="00992541" w:rsidP="00C52037">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d=1</m:t>
                </m:r>
              </m:sub>
              <m:sup>
                <m:r>
                  <w:rPr>
                    <w:rFonts w:ascii="Cambria Math" w:hAnsi="Cambria Math"/>
                    <w:lang w:val="en-US"/>
                  </w:rPr>
                  <m:t>f</m:t>
                </m:r>
              </m:sup>
              <m:e>
                <m:sSub>
                  <m:sSubPr>
                    <m:ctrlPr>
                      <w:rPr>
                        <w:rFonts w:ascii="Cambria Math" w:hAnsi="Cambria Math"/>
                        <w:i/>
                      </w:rPr>
                    </m:ctrlPr>
                  </m:sSubPr>
                  <m:e>
                    <m:r>
                      <w:rPr>
                        <w:rFonts w:ascii="Cambria Math" w:hAnsi="Cambria Math"/>
                      </w:rPr>
                      <m:t>P</m:t>
                    </m:r>
                  </m:e>
                  <m:sub>
                    <m:r>
                      <w:rPr>
                        <w:rFonts w:ascii="Cambria Math" w:hAnsi="Cambria Math"/>
                      </w:rPr>
                      <m:t>td</m:t>
                    </m:r>
                  </m:sub>
                </m:sSub>
              </m:e>
            </m:nary>
          </m:num>
          <m:den>
            <m:r>
              <w:rPr>
                <w:rFonts w:ascii="Cambria Math" w:hAnsi="Cambria Math"/>
                <w:lang w:val="en-US"/>
              </w:rPr>
              <m:t>f</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t-1f</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d=1</m:t>
                </m:r>
              </m:sub>
              <m:sup>
                <m:r>
                  <w:rPr>
                    <w:rFonts w:ascii="Cambria Math" w:hAnsi="Cambria Math"/>
                    <w:lang w:val="en-US"/>
                  </w:rPr>
                  <m:t>f</m:t>
                </m:r>
              </m:sup>
              <m:e>
                <m:sSubSup>
                  <m:sSubSupPr>
                    <m:ctrlPr>
                      <w:rPr>
                        <w:rFonts w:ascii="Cambria Math" w:hAnsi="Cambria Math"/>
                        <w:i/>
                      </w:rPr>
                    </m:ctrlPr>
                  </m:sSubSupPr>
                  <m:e>
                    <m:r>
                      <w:rPr>
                        <w:rFonts w:ascii="Cambria Math" w:hAnsi="Cambria Math"/>
                      </w:rPr>
                      <m:t>S</m:t>
                    </m:r>
                  </m:e>
                  <m:sub>
                    <m:r>
                      <w:rPr>
                        <w:rFonts w:ascii="Cambria Math" w:hAnsi="Cambria Math"/>
                      </w:rPr>
                      <m:t>td</m:t>
                    </m:r>
                  </m:sub>
                  <m:sup>
                    <m:r>
                      <w:rPr>
                        <w:rFonts w:ascii="Cambria Math" w:hAnsi="Cambria Math"/>
                      </w:rPr>
                      <m:t>c</m:t>
                    </m:r>
                  </m:sup>
                </m:sSubSup>
              </m:e>
            </m:nary>
          </m:num>
          <m:den>
            <m:r>
              <w:rPr>
                <w:rFonts w:ascii="Cambria Math" w:hAnsi="Cambria Math"/>
                <w:lang w:val="en-US"/>
              </w:rPr>
              <m:t>f</m:t>
            </m:r>
          </m:den>
        </m:f>
      </m:oMath>
      <w:r w:rsidR="004176C3" w:rsidRPr="00A4252C">
        <w:t>.</w:t>
      </w:r>
    </w:p>
    <w:p w14:paraId="4799B5C8" w14:textId="77777777" w:rsidR="004176C3" w:rsidRPr="00A4252C" w:rsidRDefault="004176C3" w:rsidP="00C52037">
      <w:r w:rsidRPr="00A4252C">
        <w:t xml:space="preserve">Continuando così si possono calcolare le posizioni per ogni giorno del trimestre </w:t>
      </w:r>
      <w:r w:rsidRPr="00A4252C">
        <w:rPr>
          <w:i/>
        </w:rPr>
        <w:t>t</w:t>
      </w:r>
      <w:r w:rsidRPr="00A4252C">
        <w:t xml:space="preserve">+1, </w:t>
      </w:r>
      <w:r w:rsidRPr="00A4252C">
        <w:rPr>
          <w:i/>
        </w:rPr>
        <w:t>t</w:t>
      </w:r>
      <w:r w:rsidRPr="00A4252C">
        <w:t>+2, etc. e le loro medie.</w:t>
      </w:r>
    </w:p>
    <w:p w14:paraId="6EDFA134" w14:textId="77777777" w:rsidR="00735A63" w:rsidRPr="00A4252C" w:rsidRDefault="00735A63" w:rsidP="00C52037"/>
    <w:p w14:paraId="14384925" w14:textId="0033720C" w:rsidR="00735A63" w:rsidRPr="00A4252C" w:rsidRDefault="00735A63" w:rsidP="00735A63">
      <w:pPr>
        <w:tabs>
          <w:tab w:val="left" w:pos="1985"/>
        </w:tabs>
        <w:spacing w:after="80"/>
        <w:ind w:right="-1"/>
        <w:jc w:val="left"/>
        <w:rPr>
          <w:rFonts w:ascii="Arial Narrow" w:hAnsi="Arial Narrow"/>
          <w:spacing w:val="-4"/>
          <w:sz w:val="19"/>
          <w:szCs w:val="19"/>
        </w:rPr>
      </w:pPr>
      <w:r w:rsidRPr="00A4252C">
        <w:rPr>
          <w:rFonts w:ascii="Arial Narrow" w:hAnsi="Arial Narrow" w:cs="Arial"/>
          <w:b/>
          <w:caps/>
          <w:color w:val="323E4F" w:themeColor="text2" w:themeShade="BF"/>
          <w:kern w:val="28"/>
        </w:rPr>
        <w:t>Figura</w:t>
      </w:r>
      <w:r w:rsidRPr="00A4252C">
        <w:rPr>
          <w:rFonts w:ascii="Arial Narrow" w:hAnsi="Arial Narrow" w:cs="Arial"/>
          <w:b/>
          <w:color w:val="323E4F" w:themeColor="text2" w:themeShade="BF"/>
          <w:kern w:val="28"/>
        </w:rPr>
        <w:t xml:space="preserve"> 7. ATTIVAZIONI, CESSAZIONI E SALDI GIORNALIERI CUMULATI E LORO MEDIE TRIMESTRALI</w:t>
      </w:r>
      <w:r w:rsidRPr="00A4252C">
        <w:rPr>
          <w:rFonts w:ascii="Arial Narrow" w:hAnsi="Arial Narrow" w:cs="Arial Narrow"/>
          <w:b/>
          <w:bCs/>
          <w:color w:val="808080"/>
        </w:rPr>
        <w:t xml:space="preserve"> </w:t>
      </w:r>
      <w:r w:rsidRPr="00A4252C">
        <w:rPr>
          <w:rFonts w:ascii="Arial Narrow" w:hAnsi="Arial Narrow" w:cs="Arial Narrow"/>
          <w:b/>
          <w:bCs/>
          <w:color w:val="808080"/>
        </w:rPr>
        <w:br/>
      </w:r>
      <w:r w:rsidRPr="00A4252C">
        <w:rPr>
          <w:rFonts w:ascii="Arial Narrow" w:eastAsia="Calibri" w:hAnsi="Arial Narrow" w:cs="Arial"/>
          <w:color w:val="000000"/>
          <w:sz w:val="19"/>
          <w:szCs w:val="19"/>
          <w:lang w:eastAsia="it-IT"/>
        </w:rPr>
        <w:t>III trim. 2015 – IV trim. 2016</w:t>
      </w:r>
      <w:r w:rsidRPr="00A4252C">
        <w:rPr>
          <w:rFonts w:ascii="Arial Narrow" w:hAnsi="Arial Narrow" w:cs="Arial"/>
          <w:color w:val="000000"/>
          <w:sz w:val="19"/>
          <w:szCs w:val="19"/>
        </w:rPr>
        <w:t xml:space="preserve"> </w:t>
      </w:r>
    </w:p>
    <w:p w14:paraId="4E5AD0A8" w14:textId="77777777" w:rsidR="00735A63" w:rsidRPr="00A4252C" w:rsidRDefault="00735A63" w:rsidP="00735A63">
      <w:pPr>
        <w:spacing w:after="0"/>
        <w:ind w:left="851" w:right="-1" w:hanging="709"/>
        <w:jc w:val="left"/>
        <w:rPr>
          <w:rFonts w:eastAsiaTheme="minorEastAsia"/>
          <w:lang w:val="en-US"/>
        </w:rPr>
      </w:pPr>
      <w:r w:rsidRPr="00A4252C">
        <w:rPr>
          <w:noProof/>
          <w:lang w:eastAsia="it-IT"/>
        </w:rPr>
        <w:drawing>
          <wp:inline distT="0" distB="0" distL="0" distR="0" wp14:anchorId="46FB3D10" wp14:editId="2F626EF2">
            <wp:extent cx="6124575" cy="2028825"/>
            <wp:effectExtent l="0" t="0" r="0" b="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038A10" w14:textId="77777777" w:rsidR="00735A63" w:rsidRPr="00A4252C" w:rsidRDefault="00735A63" w:rsidP="00735A63">
      <w:pPr>
        <w:ind w:right="-1"/>
        <w:rPr>
          <w:rFonts w:eastAsiaTheme="minorEastAsia" w:cs="Arial"/>
          <w:szCs w:val="20"/>
        </w:rPr>
      </w:pPr>
      <w:r w:rsidRPr="00A4252C">
        <w:rPr>
          <w:noProof/>
          <w:lang w:eastAsia="it-IT"/>
        </w:rPr>
        <w:drawing>
          <wp:inline distT="0" distB="0" distL="0" distR="0" wp14:anchorId="6E471579" wp14:editId="380FC1D0">
            <wp:extent cx="6124575" cy="1809750"/>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D430CC" w14:textId="77777777" w:rsidR="00EE3A1E" w:rsidRPr="00A4252C" w:rsidRDefault="00EE3A1E" w:rsidP="00735A6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i/>
          <w:kern w:val="28"/>
          <w:sz w:val="15"/>
          <w:szCs w:val="15"/>
        </w:rPr>
      </w:pPr>
    </w:p>
    <w:p w14:paraId="7660E9A8" w14:textId="77777777" w:rsidR="00735A63" w:rsidRPr="00A4252C" w:rsidRDefault="00735A63" w:rsidP="00735A63">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60" w:after="0"/>
        <w:rPr>
          <w:rFonts w:ascii="Arial Narrow" w:hAnsi="Arial Narrow" w:cs="Arial"/>
          <w:i/>
          <w:kern w:val="28"/>
          <w:sz w:val="15"/>
          <w:szCs w:val="15"/>
        </w:rPr>
      </w:pPr>
      <w:r w:rsidRPr="00A4252C">
        <w:rPr>
          <w:rFonts w:ascii="Arial Narrow" w:hAnsi="Arial Narrow" w:cs="Arial"/>
          <w:i/>
          <w:kern w:val="28"/>
          <w:sz w:val="15"/>
          <w:szCs w:val="15"/>
        </w:rPr>
        <w:t xml:space="preserve">Fonte: Ministero del lavoro, Comunicazioni </w:t>
      </w:r>
      <w:r w:rsidR="00B07421" w:rsidRPr="00A4252C">
        <w:rPr>
          <w:rFonts w:ascii="Arial Narrow" w:hAnsi="Arial Narrow" w:cs="Arial"/>
          <w:i/>
          <w:kern w:val="28"/>
          <w:sz w:val="15"/>
          <w:szCs w:val="15"/>
        </w:rPr>
        <w:t>o</w:t>
      </w:r>
      <w:r w:rsidRPr="00A4252C">
        <w:rPr>
          <w:rFonts w:ascii="Arial Narrow" w:hAnsi="Arial Narrow" w:cs="Arial"/>
          <w:i/>
          <w:kern w:val="28"/>
          <w:sz w:val="15"/>
          <w:szCs w:val="15"/>
        </w:rPr>
        <w:t>bbligatorie (rielaborate)</w:t>
      </w:r>
    </w:p>
    <w:p w14:paraId="77E657BB" w14:textId="77777777" w:rsidR="004176C3" w:rsidRPr="00A4252C" w:rsidRDefault="004176C3" w:rsidP="00C52037">
      <w:pPr>
        <w:ind w:right="-1"/>
        <w:rPr>
          <w:rFonts w:cs="Arial"/>
          <w:szCs w:val="20"/>
        </w:rPr>
      </w:pPr>
    </w:p>
    <w:p w14:paraId="5AC09466" w14:textId="0E4B340B" w:rsidR="004176C3" w:rsidRPr="00A4252C" w:rsidRDefault="004176C3" w:rsidP="00C13A4E">
      <w:pPr>
        <w:ind w:right="-1"/>
        <w:rPr>
          <w:rFonts w:cs="Arial"/>
          <w:szCs w:val="20"/>
        </w:rPr>
      </w:pPr>
      <w:r w:rsidRPr="00A4252C">
        <w:rPr>
          <w:rFonts w:cs="Arial"/>
          <w:szCs w:val="20"/>
        </w:rPr>
        <w:t xml:space="preserve">La differenza delle posizioni, così calcolate, tra il trimestre </w:t>
      </w:r>
      <w:r w:rsidRPr="00A4252C">
        <w:rPr>
          <w:rFonts w:cs="Arial"/>
          <w:i/>
          <w:szCs w:val="20"/>
        </w:rPr>
        <w:t>t</w:t>
      </w:r>
      <w:r w:rsidRPr="00A4252C">
        <w:rPr>
          <w:rFonts w:cs="Arial"/>
          <w:szCs w:val="20"/>
        </w:rPr>
        <w:t xml:space="preserve">+4 ed il trimestre </w:t>
      </w:r>
      <w:r w:rsidRPr="00A4252C">
        <w:rPr>
          <w:rFonts w:cs="Arial"/>
          <w:i/>
          <w:szCs w:val="20"/>
        </w:rPr>
        <w:t>t</w:t>
      </w:r>
      <w:r w:rsidRPr="00A4252C">
        <w:rPr>
          <w:rFonts w:cs="Arial"/>
          <w:szCs w:val="20"/>
        </w:rPr>
        <w:t xml:space="preserve">, rappresenta una variazione tendenziale paragonabile a quella che si può calcolare partendo da statistiche sugli stock della rilevazione Oros. Nella variazione, il numero di posizioni iniziali, uguale per tutti e due i trimestri, non influisce. Si può quindi dire che la variazione tendenziale è pari alla differenza tra la media dei saldi cumulati del trimestre </w:t>
      </w:r>
      <w:r w:rsidRPr="00A4252C">
        <w:rPr>
          <w:rFonts w:cs="Arial"/>
          <w:i/>
          <w:szCs w:val="20"/>
        </w:rPr>
        <w:t>t</w:t>
      </w:r>
      <w:r w:rsidRPr="00A4252C">
        <w:rPr>
          <w:rFonts w:cs="Arial"/>
          <w:szCs w:val="20"/>
        </w:rPr>
        <w:t xml:space="preserve">+4 e quella del trimestre </w:t>
      </w:r>
      <w:r w:rsidRPr="00A4252C">
        <w:rPr>
          <w:rFonts w:cs="Arial"/>
          <w:i/>
          <w:szCs w:val="20"/>
        </w:rPr>
        <w:t>t</w:t>
      </w:r>
      <w:r w:rsidRPr="00A4252C">
        <w:rPr>
          <w:rFonts w:cs="Arial"/>
          <w:szCs w:val="20"/>
        </w:rPr>
        <w:t>.</w:t>
      </w:r>
    </w:p>
    <w:p w14:paraId="2909E373" w14:textId="77777777" w:rsidR="004176C3" w:rsidRPr="00A4252C" w:rsidRDefault="0021131F" w:rsidP="00C13A4E">
      <w:pPr>
        <w:ind w:right="-1"/>
        <w:rPr>
          <w:rFonts w:cs="Arial"/>
          <w:szCs w:val="20"/>
        </w:rPr>
      </w:pPr>
      <w:r w:rsidRPr="00A4252C">
        <w:rPr>
          <w:rFonts w:cs="Arial"/>
          <w:szCs w:val="20"/>
        </w:rPr>
        <w:t>Un esempio del</w:t>
      </w:r>
      <w:r w:rsidR="004176C3" w:rsidRPr="00A4252C">
        <w:rPr>
          <w:rFonts w:cs="Arial"/>
          <w:szCs w:val="20"/>
        </w:rPr>
        <w:t xml:space="preserve"> calcolo precedente è mostrato nel riquadro inferiore della figura 7 dove sono mostrati i saldi cumulati giornalieri e le medie trimestrali di tali saldi.</w:t>
      </w:r>
    </w:p>
    <w:p w14:paraId="7B6776CF" w14:textId="77777777" w:rsidR="004176C3" w:rsidRPr="00A4252C" w:rsidRDefault="004176C3" w:rsidP="00C13A4E">
      <w:pPr>
        <w:ind w:right="-1"/>
        <w:rPr>
          <w:rFonts w:cs="Arial"/>
          <w:szCs w:val="20"/>
        </w:rPr>
      </w:pPr>
      <w:r w:rsidRPr="00A4252C">
        <w:rPr>
          <w:rFonts w:cs="Arial"/>
          <w:szCs w:val="20"/>
        </w:rPr>
        <w:t>Dato che il saldo cumulato fino ad un determinato giorno è uguale alla differenza tra attivazioni cumulate e cessazioni cumulate (ritardate di un giorno) fino a quel giorno, la media trimestrale dei saldi cumulati è pari alla differenza tra la media trimestrale delle attivazioni cumulate e quella delle cessazioni cumulate. Ne deriva che la variazione tendenziale delle medie dei saldi cumulati è pari alla differenza tra le variazioni tendenziali delle medie delle attivazioni cumulate e quelle delle cessazioni cumulate.</w:t>
      </w:r>
    </w:p>
    <w:p w14:paraId="4B45E0B4" w14:textId="77777777" w:rsidR="004176C3" w:rsidRPr="00A4252C" w:rsidRDefault="004176C3" w:rsidP="00C13A4E">
      <w:pPr>
        <w:ind w:right="-1"/>
        <w:rPr>
          <w:rFonts w:cs="Arial"/>
          <w:szCs w:val="20"/>
        </w:rPr>
      </w:pPr>
      <w:r w:rsidRPr="00A4252C">
        <w:rPr>
          <w:rFonts w:cs="Arial"/>
          <w:szCs w:val="20"/>
        </w:rPr>
        <w:t>Il riquadro superiore della figura 7 mostra il procedimento di calcolo delle attivazioni e cessazioni cumulate e delle loro medie trimestrali.</w:t>
      </w:r>
    </w:p>
    <w:p w14:paraId="52CA3CD2" w14:textId="77777777" w:rsidR="004176C3" w:rsidRPr="00A4252C" w:rsidRDefault="004176C3" w:rsidP="00C13A4E">
      <w:r w:rsidRPr="00A4252C">
        <w:rPr>
          <w:rFonts w:cs="Arial"/>
          <w:szCs w:val="20"/>
        </w:rPr>
        <w:t xml:space="preserve">Tali variazioni tendenziali di medie di attivazioni (cessazioni) cumulate sono una misura della somma di attivazioni e cessazioni intervenute nei quattro trimestri intercorrenti tra i due trimestri della variazione </w:t>
      </w:r>
      <w:r w:rsidRPr="00A4252C">
        <w:rPr>
          <w:rFonts w:cs="Arial"/>
          <w:szCs w:val="20"/>
        </w:rPr>
        <w:lastRenderedPageBreak/>
        <w:t xml:space="preserve">tendenziale. </w:t>
      </w:r>
      <w:r w:rsidRPr="00A4252C">
        <w:t>Infatti tali variazioni coincidono, in sostanza, con le medie, su tutti i giorni di un trimestre, delle attivazioni (cessazioni) intercorrenti tra ciascun giorno e lo stesso giorno di quattro trimestri prima. Per questo motivo, nella presente pubblicazione, ci riferiamo ad esse come medie di somme mobili di attivazioni (cessazioni).</w:t>
      </w:r>
    </w:p>
    <w:p w14:paraId="338C1F8E" w14:textId="77777777" w:rsidR="004176C3" w:rsidRPr="00A4252C" w:rsidRDefault="004176C3" w:rsidP="00C13A4E">
      <w:r w:rsidRPr="00A4252C">
        <w:rPr>
          <w:rFonts w:cs="Arial"/>
          <w:szCs w:val="20"/>
        </w:rPr>
        <w:t xml:space="preserve">In modo simile si possono costruire le variazioni congiunturali delle attivazioni e cessazioni cumulate. </w:t>
      </w:r>
      <w:r w:rsidRPr="00A4252C">
        <w:t>Sono queste ultime misure che sono sottoposte a destagionalizzazione. La somma algebrica di tali attivazioni e cessazioni destagionalizzate, rappresenta la variazione congiunturale destagionalizzata delle posizioni lavorative.</w:t>
      </w:r>
    </w:p>
    <w:p w14:paraId="21A34735" w14:textId="77777777" w:rsidR="004176C3" w:rsidRPr="00A4252C" w:rsidRDefault="004176C3" w:rsidP="00C13A4E">
      <w:r w:rsidRPr="00A4252C">
        <w:t>E’ da notare che la rielaborazione in questione, che permette il calcolo di variazioni di stock medi trimestrali, produrrà dati di variazione tanto più diversi dall’elaborazione standard dei dati CO quanto più i flussi sono distribuiti in maniera disomogenea nel tempo. Di recente ciò è avvenuto nel quarto trimestre 2015 e particolarmente a dicembre dove si è registrato un flusso molto concentrato di attivazioni e trasformazioni a tempo indeterminato. I datori di lavoro hanno colto l’opportunità di assumere a tempo indeterminato con un forte incentivo entro il 31 dicembre 2015 perché, a seguito di una modifica legislativa approvata in quello stesso mese, la decontribuzione triennale introdotta all’inizio dell’anno sarebbe stata drasticamente ridotta dal primo gennaio 2016. Pertanto il livello medio del quarto trimestre 2015 delle posizioni a tempo indeterminato delle CO rielaborate risente del livello, più basso, delle posizioni prima dell’introduzione della modifica normativa (di ottobre e novembre). Ne consegue un’alta variazione tendenziale del quarto trimestre 2016. Nei flussi di attivazione e cessazione non rielaborati, come quelli INPS, la variazione tendenziale è calcolata tra il 31 dicembre 2016 ed il 31 dicembre 2015, data in cui tutte le attivazioni e trasformazioni a tempo indeterminato motivate dall’incentivo erano già avvenute. Ciò fa si che la variazione tendenziale risulti minore di quella calcolata sulle medie trimestrali.</w:t>
      </w:r>
    </w:p>
    <w:p w14:paraId="0FEF6DB6" w14:textId="77777777" w:rsidR="004176C3" w:rsidRPr="00A4252C" w:rsidRDefault="004176C3" w:rsidP="00C13A4E">
      <w:pPr>
        <w:ind w:right="-1"/>
        <w:rPr>
          <w:rFonts w:cs="Arial"/>
          <w:szCs w:val="20"/>
        </w:rPr>
      </w:pPr>
    </w:p>
    <w:p w14:paraId="6F508E18" w14:textId="697FB4AB" w:rsidR="004176C3" w:rsidRPr="00A4252C" w:rsidRDefault="004176C3" w:rsidP="00C13A4E">
      <w:pPr>
        <w:rPr>
          <w:rFonts w:cs="Arial"/>
          <w:b/>
          <w:i/>
          <w:color w:val="17365D"/>
        </w:rPr>
      </w:pPr>
      <w:r w:rsidRPr="00A4252C">
        <w:rPr>
          <w:rFonts w:cs="Arial"/>
          <w:b/>
          <w:i/>
          <w:color w:val="17365D"/>
        </w:rPr>
        <w:t>Il trattamento del campo di osservazione</w:t>
      </w:r>
    </w:p>
    <w:p w14:paraId="00682AA8" w14:textId="5AF7AFC7" w:rsidR="004176C3" w:rsidRPr="00A4252C" w:rsidRDefault="004176C3" w:rsidP="00C13A4E">
      <w:r w:rsidRPr="00A4252C">
        <w:t xml:space="preserve">Per circoscrivere l’analisi al lavoro dipendente nell’ambito delle Comunicazioni </w:t>
      </w:r>
      <w:r w:rsidR="00B07421" w:rsidRPr="00A4252C">
        <w:t>o</w:t>
      </w:r>
      <w:r w:rsidRPr="00A4252C">
        <w:t xml:space="preserve">bbligatorie sono state effettuate alcune scelte in merito al campo di osservazione, con particolare riferimento alla tipologia contrattuale. Sono inclusi nel perimetro del lavoro dipendente: i dipendenti a tempo indeterminato e determinato, l’apprendistato, il contratto d’inserimento lavorativo, il lavoro domestico, il tirocinio e la borsa lavoro, il lavoro nello spettacolo. Coerentemente sono stati esclusi: collaborazione coordinata e continuativa e occasionale, il lavoro o attività socialmente utile, il lavoro autonomo nello spettacolo, l’associazione in partecipazione, il contratto di agenzia. E’ stato altresì escluso il lavoro intermittente, che pure è una forma di rapporto di lavoro dipendente, per la peculiarità di tale rapporto che ha implicazioni sulle variazioni degli stock senza una comparabile variazione dell’input effettivo di lavoro. E’ escluso anche il lavoro in somministrazione, che pure è una forma di lavoro dipendente per l’azienda di somministrazione, perché i dati delle </w:t>
      </w:r>
      <w:r w:rsidR="00BD7169" w:rsidRPr="00A4252C">
        <w:t xml:space="preserve">CO </w:t>
      </w:r>
      <w:r w:rsidRPr="00A4252C">
        <w:t xml:space="preserve">finora analizzati si riferiscono al solo modulo UNILAV che non copre tale forma di lavoro. Analogamente, anche il modulo UNIMARE, relativo ai lavoratori </w:t>
      </w:r>
      <w:r w:rsidR="00F7442B" w:rsidRPr="00A4252C">
        <w:t>del personale viaggiante n</w:t>
      </w:r>
      <w:r w:rsidRPr="00A4252C">
        <w:t xml:space="preserve">el settore marittimo, non è ancora incluso nel sistema SISCO. </w:t>
      </w:r>
    </w:p>
    <w:p w14:paraId="37390CEE" w14:textId="02ED6B7B" w:rsidR="004176C3" w:rsidRPr="00A4252C" w:rsidRDefault="004176C3" w:rsidP="00C13A4E">
      <w:r w:rsidRPr="00A4252C">
        <w:t>Riguardo alla tipologia contrattuale, nell’ambito dei rapporti di lavoro a tempo indeterminato, sono stati inclusi i contratti di apprendistato che l’art. 1 del D. Lgs. 167/2011 (c.d. Testo unico dell’apprendistato- ora sostituito dall’art. 41 D. Lgs. 81/2015) ha espressamente qualificato come contratti di lavoro subordinato a tempo indeterminato finalizzati alla formazione e alla occupazione dei giovani. Al termine del periodo formativo, le parti possono recedere dal contratto di apprendistato semplicemente rispettando il periodo di preavviso (di cui all’art. 2118 c.c.). Se nessuna delle parti esercita la facoltà di recesso il rapporto prosegue come ordinario rapporto di lavoro subordinato a tempo indeterminato. Infine, con riferimento al settore di attività economica, si precisa che non è stata effettuata alcuna selezione, e dunque le posizioni considerate si riferiscono ai settori A-U dell’Ateco 2007.</w:t>
      </w:r>
      <w:r w:rsidR="00EE54CA" w:rsidRPr="00A4252C">
        <w:t xml:space="preserve">  </w:t>
      </w:r>
    </w:p>
    <w:p w14:paraId="211A88D6" w14:textId="77777777" w:rsidR="00C13A4E" w:rsidRPr="00A4252C" w:rsidRDefault="00C13A4E" w:rsidP="00C13A4E"/>
    <w:p w14:paraId="22B1CC26" w14:textId="77777777" w:rsidR="004176C3" w:rsidRPr="00A4252C" w:rsidRDefault="004176C3" w:rsidP="00C13A4E">
      <w:pPr>
        <w:pStyle w:val="titoletto"/>
      </w:pPr>
      <w:r w:rsidRPr="00A4252C">
        <w:t>Il numero delle posizioni lavorative nelle imprese di industria e servizi (Istat)</w:t>
      </w:r>
    </w:p>
    <w:p w14:paraId="19F18CD2" w14:textId="77777777" w:rsidR="004176C3" w:rsidRPr="00A4252C" w:rsidRDefault="004176C3" w:rsidP="00C13A4E">
      <w:r w:rsidRPr="00A4252C">
        <w:t xml:space="preserve">I dati relativi alle posizioni lavorative dipendenti derivano dalla rilevazione trimestrale Oros dell’Istat, che rilascia già da molti anni gli indici trimestrali sulle posizioni lavorative, le retribuzioni e il costo del lavoro, attualmente diffusi nel comunicato stampa “Il mercato del lavoro”. Le stime delle posizioni lavorative riferite alle unità di piccola e media dimensione sono calcolati utilizzando dati di fonte amministrativa Inps sulle dichiarazioni contributive mensili (DM2013 virtuale). Per la stima relativa alle imprese con 500 e più dipendenti, i dati amministrativi vengono integrati con quelli dell’indagine mensile Istat sull’occupazione, gli orari di lavoro, le retribuzioni e il costo del lavoro nelle Grandi Imprese. La popolazione oggetto della rilevazione è costituita da imprese e istituzioni private con dipendenti, di tutte le classi dimensionali, che hanno corrisposto nel trimestre di riferimento retribuzioni imponibili a fini contributivi e svolgono la loro attività </w:t>
      </w:r>
      <w:r w:rsidRPr="00A4252C">
        <w:lastRenderedPageBreak/>
        <w:t>economica nei settori dell'industria (sezioni di attività economica da B ad F della classificazione Ateco 2007) e dei servizi (sezioni da G a S ad esclusione di O). Per gli scopi di questa rilevazione, l’insieme degli occupati dipendenti comprende operai, impiegati e apprendisti, a prescindere dal tipo di contratto (tempo indeterminato, determinato, stagionale, ecc.) e dal tipo di prestazione lavorativa (tempo pieno, tempo parziale). Sono inclusi i dirigenti. I lavoratori in somministrazione vengono considerati dal lato delle società fornitrici e sono, quindi, inclusi nella sezione N “noleggio, agenzie di viaggio, servizi di supporto alle imprese”, come esplicitato nelle raccomandazioni dei regolamenti europei. Per ogni trimestre la rilevazione produce una stima provvisoria che può essere rivista per tre trimestri fino a quando viene pubblicata la stima definitiva, rilasciata dopo 12 mesi dalla prima diffusione. Le revisioni vengono effettuate per incorporare le informazioni che si rendono disponibili successivamente alla pubblicazione della prima stima.</w:t>
      </w:r>
    </w:p>
    <w:p w14:paraId="0FA640B7" w14:textId="77777777" w:rsidR="00C13A4E" w:rsidRPr="00A4252C" w:rsidRDefault="00C13A4E" w:rsidP="00C13A4E"/>
    <w:p w14:paraId="62B424E9" w14:textId="77777777" w:rsidR="004176C3" w:rsidRPr="00A4252C" w:rsidRDefault="004176C3" w:rsidP="00C13A4E">
      <w:pPr>
        <w:pStyle w:val="titoletto"/>
      </w:pPr>
      <w:r w:rsidRPr="00A4252C">
        <w:t>L’Osservatorio sul precariato (Inps)</w:t>
      </w:r>
    </w:p>
    <w:p w14:paraId="33F8E991" w14:textId="76184B1B" w:rsidR="004176C3" w:rsidRPr="00A4252C" w:rsidRDefault="004176C3" w:rsidP="00C13A4E">
      <w:r w:rsidRPr="00A4252C">
        <w:t>L’Osservatorio sul precariato pubblica dati sui lavoratori dipendenti e sui voucher venduti. Per i primi la fonte informativa è l’Uniemens, archivio amministrativo basato sulle denunce retributive e contributive individuali mensili inviate dai datori di lavoro. Per i secondi si utilizzano gli archivi amministrativi generati dai flussi informativi delle procedure di vendita e riscossione dei buoni lavoro.</w:t>
      </w:r>
    </w:p>
    <w:p w14:paraId="6F25413B" w14:textId="77777777" w:rsidR="004176C3" w:rsidRPr="00A4252C" w:rsidRDefault="004176C3" w:rsidP="00C13A4E">
      <w:r w:rsidRPr="00A4252C">
        <w:t>Le denunce Uniemens vengono presentate mensilmente dal datore di lavoro entro il mese successivo a quello di competenza dei contributi. Il campo di osservazione è riferito ai lavoratori dipendenti del settore privato, esclusi i lavoratori domestici e gli operai agricoli. Per quanto riguarda la Pubblica amministrazione sono presi in considerazione esclusivamente i lavoratori degli Enti pubblici economici</w:t>
      </w:r>
      <w:r w:rsidRPr="00A4252C">
        <w:rPr>
          <w:rStyle w:val="Rimandonotaapidipagina"/>
          <w:rFonts w:cs="Arial"/>
          <w:szCs w:val="20"/>
        </w:rPr>
        <w:footnoteReference w:id="18"/>
      </w:r>
      <w:r w:rsidRPr="00A4252C">
        <w:t>. Tra i lavoratori dipendenti inclusi nel collettivo osservato pertanto rientrano sia i lavoratori somministrati sia i lavoratori a chiamata (c.d. intermittenti).</w:t>
      </w:r>
    </w:p>
    <w:p w14:paraId="0344614F" w14:textId="19145E69" w:rsidR="004176C3" w:rsidRPr="00A4252C" w:rsidRDefault="004176C3" w:rsidP="00C13A4E">
      <w:r w:rsidRPr="00A4252C">
        <w:t>Oggetto di rilevazione sono i flussi, vale a dire i movimenti dei rapporti di lavoro – assunzioni, cessazioni, trasformazioni – che intervengono nel periodo di riferimento.</w:t>
      </w:r>
      <w:r w:rsidR="0072313D">
        <w:t xml:space="preserve"> </w:t>
      </w:r>
      <w:r w:rsidRPr="00A4252C">
        <w:t>La contabilità dei flussi non coincide con quella dei lavoratori perché il medesimo lavoratore può risultare, nello stesso periodo di tempo, coinvolto in una pluralità di movimenti</w:t>
      </w:r>
      <w:r w:rsidRPr="00A4252C">
        <w:rPr>
          <w:rStyle w:val="Rimandonotaapidipagina"/>
          <w:rFonts w:cs="Arial"/>
          <w:szCs w:val="20"/>
        </w:rPr>
        <w:footnoteReference w:id="19"/>
      </w:r>
      <w:r w:rsidRPr="00A4252C">
        <w:t>.</w:t>
      </w:r>
    </w:p>
    <w:p w14:paraId="7155C453" w14:textId="77777777" w:rsidR="004176C3" w:rsidRPr="00A4252C" w:rsidRDefault="004176C3" w:rsidP="004E234D">
      <w:r w:rsidRPr="00A4252C">
        <w:t>L’intervallo di tempo considerato intercorre tra gennaio e l’ultimo mese delle dichiarazioni Uniemens disponibili. I nuovi rapporti di lavoro sono distinti in assunzioni a tempo indeterminato, assunzioni a termine, assunzioni in apprendistato e assunzioni stagionali; analoga distinzione è proposta per i rapporti di lavoro conclusi (cessazioni). Separatamente si dà conto anche delle variazioni contrattuali di rapporti di lavoro esistenti, distinte in trasformazioni a tempo indeterminato di rapporti di lavoro a termine o stagionali e di contratti di apprendistato</w:t>
      </w:r>
      <w:r w:rsidRPr="00A4252C">
        <w:rPr>
          <w:rStyle w:val="Rimandonotaapidipagina"/>
          <w:rFonts w:cs="Arial"/>
          <w:szCs w:val="20"/>
        </w:rPr>
        <w:footnoteReference w:id="20"/>
      </w:r>
      <w:r w:rsidRPr="00A4252C">
        <w:t xml:space="preserve">. </w:t>
      </w:r>
    </w:p>
    <w:p w14:paraId="78926BD2" w14:textId="77777777" w:rsidR="00C13A4E" w:rsidRPr="00A4252C" w:rsidRDefault="00C13A4E" w:rsidP="00C13A4E"/>
    <w:p w14:paraId="02599FF1" w14:textId="77777777" w:rsidR="004176C3" w:rsidRPr="00A4252C" w:rsidRDefault="004176C3" w:rsidP="00C13A4E">
      <w:pPr>
        <w:pStyle w:val="titoletto"/>
      </w:pPr>
      <w:r w:rsidRPr="00A4252C">
        <w:t>La rilevazione degli infortuni sul lavoro (Inail)</w:t>
      </w:r>
    </w:p>
    <w:p w14:paraId="43598770" w14:textId="77777777" w:rsidR="004176C3" w:rsidRPr="00A4252C" w:rsidRDefault="004176C3" w:rsidP="004E234D">
      <w:r w:rsidRPr="00A4252C">
        <w:t>Per le finalità del comunicato l’indicatore si riferisce al complesso delle denunce pervenute all'Inail relative alla popolazione di lavoratori dipendenti ed autonomi. Le uniche esclusioni riguardano le denunce d'infortunio relative alla tutela degli infortuni in ambito domestico (cosiddette “casalinghe”, Legge 493/1999), quelle relative al settore navigazione marittima e quelle relative a studenti di scuole pubbliche-private (quest’ultima categoria è viceversa ricompresa nelle statistiche ufficiali pubblicate). Stante l’obbligo per l’Istituto di protocollare ogni denuncia pervenuta, anche senza titolo, si segnala che tra le categorie assicurate dall’Istituto a norma di legge non rientrano, principalmente e a titolo di esempio: forze armate e di polizia (sono assicurati invece i vigili urbani), corpo nazionale dei vigili del fuoco, liberi professionisti operanti individualmente, commercianti titolari di impresa individuale, giornalisti, dirigenti e impiegati dell’agricoltura (assicurati presso l’ENPAIA), agricoltori che svolgono l’attività a livello hobbistico, amministratori locali. Per l’analisi tendenziale</w:t>
      </w:r>
      <w:r w:rsidRPr="00A4252C">
        <w:rPr>
          <w:rFonts w:cs="Arial"/>
          <w:szCs w:val="20"/>
        </w:rPr>
        <w:t xml:space="preserve"> i dati di ogni trimestre sono rilevati alla fine del mese di chiusura del trimestre oggetto di </w:t>
      </w:r>
      <w:r w:rsidRPr="00A4252C">
        <w:t xml:space="preserve">osservazione stessa (es. i dati del IV trimestre 2016 sono rilevati al 31/12/2016 e confrontati con i dati del IV trimestre 2015 rilevati al 31/12/2015). In particolare sono considerate le denunce d'infortunio che riguardano eventi con data di accadimento nel trimestre di osservazione e data di protocollo inferiore od uguale alla data </w:t>
      </w:r>
      <w:r w:rsidRPr="00A4252C">
        <w:lastRenderedPageBreak/>
        <w:t>di rilevazione. E’ fornita la distinzione per modalità di accadimento “in occasione di lavoro” e “in itinere”. Le variazioni tendenziali riportate in tavola 1 (con valori in migliaia) sono calcolate sulle cifre intere.</w:t>
      </w:r>
    </w:p>
    <w:p w14:paraId="1A0D716A" w14:textId="77777777" w:rsidR="004E234D" w:rsidRPr="00A4252C" w:rsidRDefault="004E234D" w:rsidP="004E234D"/>
    <w:p w14:paraId="5CADB7F1" w14:textId="77777777" w:rsidR="004176C3" w:rsidRPr="00A4252C" w:rsidRDefault="004176C3" w:rsidP="00C13A4E">
      <w:pPr>
        <w:pStyle w:val="titoletto"/>
      </w:pPr>
      <w:r w:rsidRPr="00A4252C">
        <w:t>L’analisi dell’effetto della componente demografica sulle variazioni tendenziali (Istat)</w:t>
      </w:r>
    </w:p>
    <w:p w14:paraId="0F768ABF" w14:textId="133A6C1A" w:rsidR="004176C3" w:rsidRPr="00A4252C" w:rsidRDefault="004176C3" w:rsidP="00C13A4E">
      <w:r w:rsidRPr="00A4252C">
        <w:t xml:space="preserve">La dinamica della partecipazione al mercato del lavoro risente del progressivo invecchiamento della popolazione, dovuto al calo della natalità e all’aumento della vita media. Difatti, al netto dei movimenti migratori e naturali, la diminuzione della popolazione tra 15 e 49 anni (negli ultimi trimestri circa -1,5% annuo, quasi 400 mila persone) è </w:t>
      </w:r>
      <w:r w:rsidR="00DC75FE" w:rsidRPr="00A4252C">
        <w:t xml:space="preserve">determinata </w:t>
      </w:r>
      <w:r w:rsidRPr="00A4252C">
        <w:t xml:space="preserve">dal passaggio dei 49enni alla classe di età successiva non compensato dall’ingresso dei 15enni; al contrario, la crescita della popolazione nella classe 50-64 anni (mediamente +1,8% annuo, pari a oltre 200 mila persone) è dovuta al maggiore numero di ingressi dei 49enni rispetto al passaggio dei 64enni alla classe di età successiva. </w:t>
      </w:r>
    </w:p>
    <w:p w14:paraId="51B56DF8" w14:textId="77777777" w:rsidR="004176C3" w:rsidRPr="00A4252C" w:rsidRDefault="004176C3" w:rsidP="00C13A4E">
      <w:r w:rsidRPr="00A4252C">
        <w:t>Al fine di analizzare l’impatto dei mutamenti demografici sulla stima delle variazioni tendenziali di occupati, disoccupati e inattivi nelle diverse classi di età, si sono utilizzate tecniche di standardizzazione della composizione per età della popolazione. In particolare, le variazioni tendenziali sono state scomposte nella somma di due componenti: la prima è al netto della componente demografica, nell’ipotesi in cui il fattore variabile sia la distribuzione relativa per condizione professionale stimata in ciascuna classe di età, ipotizzando che non sia intervenuta alcuna variazione della popolazione rispetto a 12 mesi prima; la seconda componente misura l’effetto che deriva dalle variazioni della popolazione a distanza di 12 mesi, nell’ipotesi che questo sia l’unico fattore a determinare un cambiamento nelle stime. Le stime delle due componenti sono state effettuate per le quattro classi di età 15-34, 35-49, 50-64 e 65 anni e più.</w:t>
      </w:r>
    </w:p>
    <w:p w14:paraId="38489FDB" w14:textId="77777777" w:rsidR="004176C3" w:rsidRPr="00A4252C" w:rsidRDefault="004176C3" w:rsidP="00C13A4E"/>
    <w:p w14:paraId="55296974" w14:textId="77777777" w:rsidR="004176C3" w:rsidRPr="00A4252C" w:rsidRDefault="004176C3" w:rsidP="00C13A4E">
      <w:pPr>
        <w:pStyle w:val="titoletto"/>
      </w:pPr>
      <w:r w:rsidRPr="00A4252C">
        <w:t xml:space="preserve">La correzione per la stagionalità e per gli effetti di calendario (Istat-Ministero del lavoro e politiche sociali) </w:t>
      </w:r>
    </w:p>
    <w:p w14:paraId="30BF5943" w14:textId="77777777" w:rsidR="004176C3" w:rsidRPr="00A4252C" w:rsidRDefault="004176C3" w:rsidP="00C13A4E">
      <w:pPr>
        <w:ind w:right="-1"/>
        <w:rPr>
          <w:rFonts w:cs="Arial"/>
          <w:szCs w:val="20"/>
        </w:rPr>
      </w:pPr>
      <w:r w:rsidRPr="00A4252C">
        <w:rPr>
          <w:rFonts w:cs="Arial"/>
          <w:szCs w:val="20"/>
        </w:rPr>
        <w:t>La procedura di destagionalizzazione adottata è Tramo-Seats, basata su un approccio Reg-ARIMA. La procedura di correzione per gli effetti di calendario, laddove significativi, viene operata con il metodo di regressione (applicato utilizzando la procedura Tramo), il quale individua l’effetto del diverso numero di giorni lavorativi o di giorni specifici della settimana in essi contenuti, della presenza di festività nazionali civili e religiose, fisse e mobili (festività pasquali), nonché dell’anno bisestile attraverso l’introduzione di un regressore nel modello univariato che descrive l’andamento della serie.</w:t>
      </w:r>
    </w:p>
    <w:p w14:paraId="37D03C2D" w14:textId="791AF305" w:rsidR="004176C3" w:rsidRPr="00A4252C" w:rsidRDefault="004176C3" w:rsidP="00C13A4E">
      <w:r w:rsidRPr="00A4252C">
        <w:t>Va, inoltre, ricordato che le variabili vengono destagionalizzate e corrette per gli effetti di calendario utilizzando il metodo indiretto, ossia aggregando le serie destagionalizzate per settore di attività economica e per tipologia contrattuale (nel caso delle attivazioni e cessazioni) sottostanti. In via generale, il metodo indiretto garantisce la coerenza tra le serie aggregate e le serie componenti, mentre le serie trattate direttamente possono differire da quelle che si otterrebbero dalla sintesi degli indici dei livelli inferiori di classificazione ovvero da metodo indiretto.</w:t>
      </w:r>
    </w:p>
    <w:p w14:paraId="4AA16636" w14:textId="77777777" w:rsidR="00745EB7" w:rsidRPr="00A4252C" w:rsidRDefault="004176C3" w:rsidP="001D6271">
      <w:r w:rsidRPr="00A4252C">
        <w:t>Per i dati relativi alle attivazioni, cessazioni e trasformazioni delle CO la brevità delle serie storiche disponibili implica un margine di errore relativamente elevato nell’identificazione della componente stagionale. Ne deriva la possibilità che l’usuale revisione degli indicatori destagionalizzati, conseguente alla ristima del modello in occasione dell’aggiungersi di un nuovo dato trimestrale, porti a modifiche significative del profilo congiunturale precedentemente stimato.</w:t>
      </w:r>
    </w:p>
    <w:p w14:paraId="19E9F93C" w14:textId="17FD105A" w:rsidR="00EE3905" w:rsidRPr="00A4252C" w:rsidRDefault="004176C3" w:rsidP="00F40EF7">
      <w:pPr>
        <w:rPr>
          <w:sz w:val="18"/>
          <w:szCs w:val="18"/>
        </w:rPr>
      </w:pPr>
      <w:r w:rsidRPr="00A4252C">
        <w:br w:type="page"/>
      </w:r>
      <w:r w:rsidRPr="00A4252C">
        <w:rPr>
          <w:rFonts w:ascii="Arial Narrow" w:hAnsi="Arial Narrow" w:cs="Arial"/>
          <w:b/>
          <w:caps/>
          <w:color w:val="17365D"/>
          <w:kern w:val="28"/>
        </w:rPr>
        <w:lastRenderedPageBreak/>
        <w:t>Prospetto</w:t>
      </w:r>
      <w:r w:rsidRPr="00A4252C">
        <w:rPr>
          <w:rFonts w:ascii="Arial Narrow" w:hAnsi="Arial Narrow" w:cs="Arial"/>
          <w:b/>
          <w:color w:val="17365D"/>
          <w:kern w:val="28"/>
        </w:rPr>
        <w:t xml:space="preserve"> 1. LE CARATTERISTICHE DELLE FONTI ORIGINALI DEI DATI SULL’OCCUPAZIONE</w:t>
      </w:r>
      <w:r w:rsidRPr="00A4252C">
        <w:rPr>
          <w:rStyle w:val="Rimandonotaapidipagina"/>
          <w:rFonts w:cs="Arial"/>
          <w:color w:val="000000"/>
          <w:sz w:val="18"/>
          <w:szCs w:val="18"/>
        </w:rPr>
        <w:footnoteReference w:id="21"/>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97"/>
        <w:gridCol w:w="1446"/>
        <w:gridCol w:w="1446"/>
        <w:gridCol w:w="1446"/>
        <w:gridCol w:w="1251"/>
        <w:gridCol w:w="1446"/>
        <w:gridCol w:w="1313"/>
      </w:tblGrid>
      <w:tr w:rsidR="004176C3" w:rsidRPr="00A4252C" w14:paraId="1E4605A3" w14:textId="77777777" w:rsidTr="007A2049">
        <w:trPr>
          <w:cantSplit/>
        </w:trPr>
        <w:tc>
          <w:tcPr>
            <w:tcW w:w="1276" w:type="dxa"/>
            <w:tcBorders>
              <w:left w:val="nil"/>
              <w:right w:val="nil"/>
            </w:tcBorders>
          </w:tcPr>
          <w:p w14:paraId="66C0D19B" w14:textId="77777777" w:rsidR="004176C3" w:rsidRPr="00A4252C" w:rsidRDefault="004176C3" w:rsidP="007A2049">
            <w:pPr>
              <w:spacing w:before="40" w:after="40"/>
              <w:ind w:right="-108"/>
              <w:jc w:val="left"/>
              <w:rPr>
                <w:rFonts w:ascii="Arial Narrow" w:hAnsi="Arial Narrow" w:cs="Arial"/>
                <w:b/>
                <w:bCs/>
                <w:sz w:val="15"/>
                <w:szCs w:val="15"/>
              </w:rPr>
            </w:pPr>
          </w:p>
        </w:tc>
        <w:tc>
          <w:tcPr>
            <w:tcW w:w="1424" w:type="dxa"/>
            <w:tcBorders>
              <w:left w:val="nil"/>
              <w:right w:val="nil"/>
            </w:tcBorders>
            <w:shd w:val="clear" w:color="auto" w:fill="FFFFFF" w:themeFill="background1"/>
          </w:tcPr>
          <w:p w14:paraId="0E362604" w14:textId="77777777" w:rsidR="004176C3" w:rsidRPr="00A4252C" w:rsidRDefault="004176C3" w:rsidP="001B036E">
            <w:pPr>
              <w:spacing w:before="40" w:after="40"/>
              <w:jc w:val="left"/>
              <w:rPr>
                <w:rFonts w:ascii="Arial Narrow" w:hAnsi="Arial Narrow" w:cs="Arial"/>
                <w:b/>
                <w:sz w:val="15"/>
                <w:szCs w:val="15"/>
              </w:rPr>
            </w:pPr>
            <w:r w:rsidRPr="00A4252C">
              <w:rPr>
                <w:rFonts w:ascii="Arial Narrow" w:hAnsi="Arial Narrow" w:cs="Arial"/>
                <w:b/>
                <w:sz w:val="15"/>
                <w:szCs w:val="15"/>
              </w:rPr>
              <w:t>Comunicazioni obbligatorie (SISCO)</w:t>
            </w:r>
          </w:p>
        </w:tc>
        <w:tc>
          <w:tcPr>
            <w:tcW w:w="1424" w:type="dxa"/>
            <w:tcBorders>
              <w:left w:val="nil"/>
              <w:right w:val="nil"/>
            </w:tcBorders>
            <w:shd w:val="clear" w:color="auto" w:fill="FFFFFF" w:themeFill="background1"/>
          </w:tcPr>
          <w:p w14:paraId="4E5D20D9" w14:textId="77777777" w:rsidR="004176C3" w:rsidRPr="00A4252C" w:rsidRDefault="004176C3" w:rsidP="001B036E">
            <w:pPr>
              <w:spacing w:before="40" w:after="40"/>
              <w:jc w:val="left"/>
              <w:rPr>
                <w:rFonts w:ascii="Arial Narrow" w:hAnsi="Arial Narrow" w:cs="Arial"/>
                <w:b/>
                <w:sz w:val="15"/>
                <w:szCs w:val="15"/>
              </w:rPr>
            </w:pPr>
            <w:r w:rsidRPr="00A4252C">
              <w:rPr>
                <w:rFonts w:ascii="Arial Narrow" w:hAnsi="Arial Narrow" w:cs="Arial"/>
                <w:b/>
                <w:sz w:val="15"/>
                <w:szCs w:val="15"/>
              </w:rPr>
              <w:t xml:space="preserve">UniEmens </w:t>
            </w:r>
          </w:p>
          <w:p w14:paraId="65C203EA" w14:textId="77777777" w:rsidR="004176C3" w:rsidRPr="00A4252C" w:rsidRDefault="004176C3" w:rsidP="001B036E">
            <w:pPr>
              <w:spacing w:before="40" w:after="40"/>
              <w:jc w:val="left"/>
              <w:rPr>
                <w:rFonts w:ascii="Arial Narrow" w:hAnsi="Arial Narrow" w:cs="Arial"/>
                <w:b/>
                <w:sz w:val="15"/>
                <w:szCs w:val="15"/>
              </w:rPr>
            </w:pPr>
            <w:r w:rsidRPr="00A4252C">
              <w:rPr>
                <w:rFonts w:ascii="Arial Narrow" w:hAnsi="Arial Narrow" w:cs="Arial"/>
                <w:b/>
                <w:sz w:val="15"/>
                <w:szCs w:val="15"/>
              </w:rPr>
              <w:t>(Osservatorio sul Precariato)</w:t>
            </w:r>
          </w:p>
        </w:tc>
        <w:tc>
          <w:tcPr>
            <w:tcW w:w="1424" w:type="dxa"/>
            <w:tcBorders>
              <w:left w:val="nil"/>
              <w:right w:val="nil"/>
            </w:tcBorders>
            <w:shd w:val="clear" w:color="auto" w:fill="FFFFFF" w:themeFill="background1"/>
          </w:tcPr>
          <w:p w14:paraId="5F1D151A" w14:textId="77777777" w:rsidR="004176C3" w:rsidRPr="00A4252C" w:rsidRDefault="004176C3" w:rsidP="001B036E">
            <w:pPr>
              <w:spacing w:before="40" w:after="40"/>
              <w:jc w:val="left"/>
              <w:rPr>
                <w:rFonts w:ascii="Arial Narrow" w:hAnsi="Arial Narrow" w:cs="Arial"/>
                <w:b/>
                <w:sz w:val="15"/>
                <w:szCs w:val="15"/>
              </w:rPr>
            </w:pPr>
            <w:r w:rsidRPr="00A4252C">
              <w:rPr>
                <w:rFonts w:ascii="Arial Narrow" w:hAnsi="Arial Narrow" w:cs="Arial"/>
                <w:b/>
                <w:sz w:val="15"/>
                <w:szCs w:val="15"/>
              </w:rPr>
              <w:t>Voucher</w:t>
            </w:r>
          </w:p>
          <w:p w14:paraId="79BF7244" w14:textId="77777777" w:rsidR="004176C3" w:rsidRPr="00A4252C" w:rsidRDefault="004176C3" w:rsidP="001B036E">
            <w:pPr>
              <w:spacing w:before="40" w:after="40"/>
              <w:jc w:val="left"/>
              <w:rPr>
                <w:rFonts w:ascii="Arial Narrow" w:hAnsi="Arial Narrow" w:cs="Arial"/>
                <w:b/>
                <w:sz w:val="15"/>
                <w:szCs w:val="15"/>
              </w:rPr>
            </w:pPr>
            <w:r w:rsidRPr="00A4252C">
              <w:rPr>
                <w:rFonts w:ascii="Arial Narrow" w:hAnsi="Arial Narrow" w:cs="Arial"/>
                <w:b/>
                <w:sz w:val="15"/>
                <w:szCs w:val="15"/>
              </w:rPr>
              <w:t>(Osservatorio sul lavoro accessorio)</w:t>
            </w:r>
          </w:p>
        </w:tc>
        <w:tc>
          <w:tcPr>
            <w:tcW w:w="1232" w:type="dxa"/>
            <w:tcBorders>
              <w:left w:val="nil"/>
              <w:right w:val="nil"/>
            </w:tcBorders>
            <w:shd w:val="clear" w:color="auto" w:fill="FFFFFF" w:themeFill="background1"/>
            <w:vAlign w:val="center"/>
          </w:tcPr>
          <w:p w14:paraId="408F8327" w14:textId="77777777" w:rsidR="004176C3" w:rsidRPr="00A4252C" w:rsidRDefault="004176C3" w:rsidP="005E6292">
            <w:pPr>
              <w:spacing w:before="40" w:after="40"/>
              <w:jc w:val="left"/>
              <w:rPr>
                <w:rFonts w:ascii="Arial Narrow" w:hAnsi="Arial Narrow" w:cs="Arial"/>
                <w:b/>
                <w:bCs/>
                <w:sz w:val="15"/>
                <w:szCs w:val="15"/>
              </w:rPr>
            </w:pPr>
            <w:r w:rsidRPr="00A4252C">
              <w:rPr>
                <w:rFonts w:ascii="Arial Narrow" w:hAnsi="Arial Narrow" w:cs="Arial"/>
                <w:b/>
                <w:sz w:val="15"/>
                <w:szCs w:val="15"/>
              </w:rPr>
              <w:t>Rilevazione sulle forze di lavoro</w:t>
            </w:r>
          </w:p>
        </w:tc>
        <w:tc>
          <w:tcPr>
            <w:tcW w:w="1424" w:type="dxa"/>
            <w:tcBorders>
              <w:left w:val="nil"/>
              <w:right w:val="nil"/>
            </w:tcBorders>
            <w:shd w:val="clear" w:color="auto" w:fill="FFFFFF" w:themeFill="background1"/>
            <w:vAlign w:val="center"/>
          </w:tcPr>
          <w:p w14:paraId="5CA75119" w14:textId="77777777" w:rsidR="004176C3" w:rsidRPr="00A4252C" w:rsidRDefault="004176C3" w:rsidP="005E6292">
            <w:pPr>
              <w:spacing w:before="40" w:after="40"/>
              <w:jc w:val="left"/>
              <w:rPr>
                <w:rFonts w:ascii="Arial Narrow" w:hAnsi="Arial Narrow" w:cs="Arial"/>
                <w:b/>
                <w:bCs/>
                <w:sz w:val="15"/>
                <w:szCs w:val="15"/>
              </w:rPr>
            </w:pPr>
            <w:r w:rsidRPr="00A4252C">
              <w:rPr>
                <w:rFonts w:ascii="Arial Narrow" w:hAnsi="Arial Narrow" w:cs="Arial"/>
                <w:b/>
                <w:sz w:val="15"/>
                <w:szCs w:val="15"/>
              </w:rPr>
              <w:t>Indicatori sulle imprese (Rilevazioni Oros e Grandi imprese)</w:t>
            </w:r>
          </w:p>
        </w:tc>
        <w:tc>
          <w:tcPr>
            <w:tcW w:w="1293" w:type="dxa"/>
            <w:tcBorders>
              <w:left w:val="nil"/>
              <w:right w:val="nil"/>
            </w:tcBorders>
            <w:shd w:val="clear" w:color="auto" w:fill="FFFFFF" w:themeFill="background1"/>
            <w:vAlign w:val="center"/>
          </w:tcPr>
          <w:p w14:paraId="19DF156F" w14:textId="77777777" w:rsidR="004176C3" w:rsidRPr="00A4252C" w:rsidRDefault="004176C3" w:rsidP="001B036E">
            <w:pPr>
              <w:spacing w:before="40" w:after="40"/>
              <w:jc w:val="left"/>
              <w:rPr>
                <w:rFonts w:ascii="Arial Narrow" w:hAnsi="Arial Narrow" w:cs="Arial"/>
                <w:b/>
                <w:sz w:val="15"/>
                <w:szCs w:val="15"/>
              </w:rPr>
            </w:pPr>
            <w:r w:rsidRPr="00A4252C">
              <w:rPr>
                <w:rFonts w:ascii="Arial Narrow" w:hAnsi="Arial Narrow" w:cs="Arial"/>
                <w:b/>
                <w:sz w:val="15"/>
                <w:szCs w:val="15"/>
              </w:rPr>
              <w:t>Contabilità nazionale</w:t>
            </w:r>
          </w:p>
        </w:tc>
      </w:tr>
      <w:tr w:rsidR="004176C3" w:rsidRPr="00A4252C" w14:paraId="40CCF23A" w14:textId="77777777" w:rsidTr="007A2049">
        <w:trPr>
          <w:cantSplit/>
        </w:trPr>
        <w:tc>
          <w:tcPr>
            <w:tcW w:w="1276" w:type="dxa"/>
            <w:tcBorders>
              <w:left w:val="nil"/>
              <w:right w:val="nil"/>
            </w:tcBorders>
          </w:tcPr>
          <w:p w14:paraId="7F530E89" w14:textId="77777777" w:rsidR="004176C3" w:rsidRPr="00A4252C" w:rsidRDefault="004176C3" w:rsidP="007A2049">
            <w:pPr>
              <w:spacing w:before="60" w:after="60"/>
              <w:ind w:right="-108"/>
              <w:jc w:val="left"/>
              <w:rPr>
                <w:rFonts w:ascii="Arial Narrow" w:hAnsi="Arial Narrow" w:cs="Arial"/>
                <w:sz w:val="15"/>
                <w:szCs w:val="15"/>
              </w:rPr>
            </w:pPr>
            <w:r w:rsidRPr="00A4252C">
              <w:rPr>
                <w:rFonts w:ascii="Arial Narrow" w:hAnsi="Arial Narrow" w:cs="Arial"/>
                <w:b/>
                <w:sz w:val="15"/>
                <w:szCs w:val="15"/>
              </w:rPr>
              <w:t>Istituzioni produttrici dei dati statistici</w:t>
            </w:r>
          </w:p>
        </w:tc>
        <w:tc>
          <w:tcPr>
            <w:tcW w:w="1424" w:type="dxa"/>
            <w:tcBorders>
              <w:left w:val="nil"/>
              <w:right w:val="nil"/>
            </w:tcBorders>
            <w:shd w:val="clear" w:color="auto" w:fill="F2F2F2" w:themeFill="background1" w:themeFillShade="F2"/>
          </w:tcPr>
          <w:p w14:paraId="3061932F"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Ministero del Lavoro</w:t>
            </w:r>
          </w:p>
        </w:tc>
        <w:tc>
          <w:tcPr>
            <w:tcW w:w="1424" w:type="dxa"/>
            <w:tcBorders>
              <w:left w:val="nil"/>
              <w:right w:val="nil"/>
            </w:tcBorders>
            <w:shd w:val="clear" w:color="auto" w:fill="FFFFFF" w:themeFill="background1"/>
          </w:tcPr>
          <w:p w14:paraId="2A583DD4"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Inps</w:t>
            </w:r>
          </w:p>
        </w:tc>
        <w:tc>
          <w:tcPr>
            <w:tcW w:w="1424" w:type="dxa"/>
            <w:tcBorders>
              <w:left w:val="nil"/>
              <w:right w:val="nil"/>
            </w:tcBorders>
            <w:shd w:val="clear" w:color="auto" w:fill="F2F2F2" w:themeFill="background1" w:themeFillShade="F2"/>
          </w:tcPr>
          <w:p w14:paraId="1648B9FF"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Inps</w:t>
            </w:r>
          </w:p>
        </w:tc>
        <w:tc>
          <w:tcPr>
            <w:tcW w:w="1232" w:type="dxa"/>
            <w:tcBorders>
              <w:left w:val="nil"/>
              <w:right w:val="nil"/>
            </w:tcBorders>
            <w:shd w:val="clear" w:color="auto" w:fill="FFFFFF" w:themeFill="background1"/>
          </w:tcPr>
          <w:p w14:paraId="7F142627"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Istat</w:t>
            </w:r>
          </w:p>
        </w:tc>
        <w:tc>
          <w:tcPr>
            <w:tcW w:w="1424" w:type="dxa"/>
            <w:tcBorders>
              <w:left w:val="nil"/>
              <w:right w:val="nil"/>
            </w:tcBorders>
            <w:shd w:val="clear" w:color="auto" w:fill="F2F2F2" w:themeFill="background1" w:themeFillShade="F2"/>
          </w:tcPr>
          <w:p w14:paraId="4308A10D"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Istat</w:t>
            </w:r>
          </w:p>
        </w:tc>
        <w:tc>
          <w:tcPr>
            <w:tcW w:w="1293" w:type="dxa"/>
            <w:tcBorders>
              <w:left w:val="nil"/>
              <w:right w:val="nil"/>
            </w:tcBorders>
            <w:shd w:val="clear" w:color="auto" w:fill="FFFFFF" w:themeFill="background1"/>
          </w:tcPr>
          <w:p w14:paraId="3D17455E" w14:textId="77777777" w:rsidR="004176C3" w:rsidRPr="00A4252C" w:rsidRDefault="004176C3" w:rsidP="00C13A4E">
            <w:pPr>
              <w:spacing w:before="60" w:after="60"/>
              <w:ind w:right="-108"/>
              <w:jc w:val="left"/>
              <w:rPr>
                <w:rFonts w:ascii="Arial Narrow" w:hAnsi="Arial Narrow" w:cs="Arial"/>
                <w:sz w:val="15"/>
                <w:szCs w:val="15"/>
              </w:rPr>
            </w:pPr>
            <w:r w:rsidRPr="00A4252C">
              <w:rPr>
                <w:rFonts w:ascii="Arial Narrow" w:hAnsi="Arial Narrow" w:cs="Arial"/>
                <w:sz w:val="15"/>
                <w:szCs w:val="15"/>
              </w:rPr>
              <w:t>Istat</w:t>
            </w:r>
          </w:p>
        </w:tc>
      </w:tr>
      <w:tr w:rsidR="004176C3" w:rsidRPr="00A4252C" w14:paraId="3036E066" w14:textId="77777777" w:rsidTr="007A2049">
        <w:trPr>
          <w:cantSplit/>
          <w:trHeight w:val="3741"/>
        </w:trPr>
        <w:tc>
          <w:tcPr>
            <w:tcW w:w="1276" w:type="dxa"/>
            <w:tcBorders>
              <w:left w:val="nil"/>
              <w:right w:val="nil"/>
            </w:tcBorders>
          </w:tcPr>
          <w:p w14:paraId="11757510" w14:textId="77777777" w:rsidR="004176C3" w:rsidRPr="00A4252C" w:rsidRDefault="004176C3" w:rsidP="007A2049">
            <w:pPr>
              <w:spacing w:before="60" w:after="60"/>
              <w:ind w:right="-108"/>
              <w:jc w:val="left"/>
              <w:rPr>
                <w:rFonts w:ascii="Arial Narrow" w:hAnsi="Arial Narrow" w:cs="Arial"/>
                <w:b/>
                <w:sz w:val="15"/>
                <w:szCs w:val="15"/>
              </w:rPr>
            </w:pPr>
            <w:r w:rsidRPr="00A4252C">
              <w:rPr>
                <w:rFonts w:ascii="Arial Narrow" w:hAnsi="Arial Narrow" w:cs="Arial"/>
                <w:b/>
                <w:sz w:val="15"/>
                <w:szCs w:val="15"/>
              </w:rPr>
              <w:t>Tipologia di fonte</w:t>
            </w:r>
          </w:p>
        </w:tc>
        <w:tc>
          <w:tcPr>
            <w:tcW w:w="1424" w:type="dxa"/>
            <w:tcBorders>
              <w:left w:val="nil"/>
              <w:right w:val="nil"/>
            </w:tcBorders>
            <w:shd w:val="clear" w:color="auto" w:fill="F2F2F2" w:themeFill="background1" w:themeFillShade="F2"/>
          </w:tcPr>
          <w:p w14:paraId="6218A00E" w14:textId="77777777" w:rsidR="004176C3" w:rsidRPr="00A4252C" w:rsidRDefault="004176C3" w:rsidP="00C13A4E">
            <w:pPr>
              <w:spacing w:before="60" w:after="60"/>
              <w:jc w:val="left"/>
              <w:rPr>
                <w:rFonts w:ascii="Arial Narrow" w:hAnsi="Arial Narrow"/>
                <w:sz w:val="15"/>
                <w:szCs w:val="15"/>
              </w:rPr>
            </w:pPr>
            <w:r w:rsidRPr="00A4252C">
              <w:rPr>
                <w:rFonts w:ascii="Arial Narrow" w:hAnsi="Arial Narrow"/>
                <w:sz w:val="15"/>
                <w:szCs w:val="15"/>
              </w:rPr>
              <w:t>Fonte di tipo amministrativo (trattata statisticamente) basata sulla trasmissione telematica di comunicazioni relative ad eventi di attivazione, cessazione, proroga trasformazione di rapporti di lavoro dipendente e parasubordinato</w:t>
            </w:r>
            <w:r w:rsidRPr="00A4252C">
              <w:rPr>
                <w:rStyle w:val="Rimandonotaapidipagina"/>
                <w:rFonts w:ascii="Arial Narrow" w:hAnsi="Arial Narrow"/>
                <w:sz w:val="15"/>
                <w:szCs w:val="15"/>
              </w:rPr>
              <w:footnoteReference w:id="22"/>
            </w:r>
            <w:r w:rsidRPr="00A4252C">
              <w:rPr>
                <w:rFonts w:ascii="Arial Narrow" w:hAnsi="Arial Narrow"/>
                <w:sz w:val="15"/>
                <w:szCs w:val="15"/>
              </w:rPr>
              <w:t xml:space="preserve"> (UNILAV) da parte dei datori di lavori </w:t>
            </w:r>
          </w:p>
        </w:tc>
        <w:tc>
          <w:tcPr>
            <w:tcW w:w="1424" w:type="dxa"/>
            <w:tcBorders>
              <w:left w:val="nil"/>
              <w:right w:val="nil"/>
            </w:tcBorders>
            <w:shd w:val="clear" w:color="auto" w:fill="FFFFFF" w:themeFill="background1"/>
          </w:tcPr>
          <w:p w14:paraId="1A242EA9" w14:textId="7D80B9CC" w:rsidR="004176C3" w:rsidRPr="00A4252C" w:rsidRDefault="004176C3" w:rsidP="00C13A4E">
            <w:pPr>
              <w:spacing w:before="60" w:after="60"/>
              <w:jc w:val="left"/>
              <w:rPr>
                <w:rFonts w:ascii="Arial Narrow" w:hAnsi="Arial Narrow" w:cs="Arial"/>
                <w:b/>
                <w:sz w:val="15"/>
                <w:szCs w:val="15"/>
              </w:rPr>
            </w:pPr>
            <w:r w:rsidRPr="00A4252C">
              <w:rPr>
                <w:rFonts w:ascii="Arial Narrow" w:hAnsi="Arial Narrow" w:cs="Arial"/>
                <w:sz w:val="15"/>
                <w:szCs w:val="15"/>
              </w:rPr>
              <w:t xml:space="preserve">Fonte di tipo amministrativo (trattata statisticamente) basata sulle denunce retributive e contributive individuali mensili fornite dalle aziende datrici di lavoro. </w:t>
            </w:r>
          </w:p>
        </w:tc>
        <w:tc>
          <w:tcPr>
            <w:tcW w:w="1424" w:type="dxa"/>
            <w:tcBorders>
              <w:left w:val="nil"/>
              <w:right w:val="nil"/>
            </w:tcBorders>
            <w:shd w:val="clear" w:color="auto" w:fill="F2F2F2" w:themeFill="background1" w:themeFillShade="F2"/>
          </w:tcPr>
          <w:p w14:paraId="791ED285"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Archivi amministrativi (trattati statisticamente) generati dai flussi informativi delle procedure di vendita e riscossione dei voucher detti anche buoni lavoro.</w:t>
            </w:r>
          </w:p>
        </w:tc>
        <w:tc>
          <w:tcPr>
            <w:tcW w:w="1232" w:type="dxa"/>
            <w:tcBorders>
              <w:left w:val="nil"/>
              <w:right w:val="nil"/>
            </w:tcBorders>
            <w:shd w:val="clear" w:color="auto" w:fill="FFFFFF" w:themeFill="background1"/>
          </w:tcPr>
          <w:p w14:paraId="63460570" w14:textId="196B2739" w:rsidR="004176C3" w:rsidRPr="00A4252C" w:rsidRDefault="004176C3" w:rsidP="007A2049">
            <w:pPr>
              <w:spacing w:before="60" w:after="60"/>
              <w:jc w:val="left"/>
              <w:rPr>
                <w:rFonts w:ascii="Arial Narrow" w:hAnsi="Arial Narrow" w:cs="Arial"/>
                <w:sz w:val="15"/>
                <w:szCs w:val="15"/>
              </w:rPr>
            </w:pPr>
            <w:r w:rsidRPr="00A4252C">
              <w:rPr>
                <w:rFonts w:ascii="Arial Narrow" w:hAnsi="Arial Narrow" w:cs="Arial"/>
                <w:sz w:val="15"/>
                <w:szCs w:val="15"/>
              </w:rPr>
              <w:t xml:space="preserve">Indagine campionaria </w:t>
            </w:r>
            <w:r w:rsidRPr="00A4252C">
              <w:rPr>
                <w:rFonts w:ascii="Arial Narrow" w:hAnsi="Arial Narrow"/>
                <w:sz w:val="15"/>
                <w:szCs w:val="15"/>
              </w:rPr>
              <w:t xml:space="preserve">CAPI-CATI </w:t>
            </w:r>
            <w:r w:rsidRPr="00A4252C">
              <w:rPr>
                <w:rFonts w:ascii="Arial Narrow" w:hAnsi="Arial Narrow" w:cs="Arial"/>
                <w:sz w:val="15"/>
                <w:szCs w:val="15"/>
              </w:rPr>
              <w:t>riferita alla popolazione residente in famiglia, che permette di stimare il numero di persone occupate, disoccupate e inattive. Campione (a due stadi) annuale composto da oltre 250 mila famiglie residenti in Italia (per un totale di circa 600 mila individui) distribuite in circa 1.400 comuni.</w:t>
            </w:r>
          </w:p>
        </w:tc>
        <w:tc>
          <w:tcPr>
            <w:tcW w:w="1424" w:type="dxa"/>
            <w:tcBorders>
              <w:left w:val="nil"/>
              <w:right w:val="nil"/>
            </w:tcBorders>
            <w:shd w:val="clear" w:color="auto" w:fill="F2F2F2" w:themeFill="background1" w:themeFillShade="F2"/>
          </w:tcPr>
          <w:p w14:paraId="104B8E6E" w14:textId="77777777" w:rsidR="004176C3" w:rsidRPr="00A4252C" w:rsidRDefault="004176C3" w:rsidP="00C13A4E">
            <w:pPr>
              <w:spacing w:before="60" w:after="60"/>
              <w:jc w:val="left"/>
              <w:rPr>
                <w:rFonts w:ascii="Arial Narrow" w:hAnsi="Arial Narrow" w:cs="Arial"/>
                <w:iCs/>
                <w:sz w:val="15"/>
                <w:szCs w:val="15"/>
              </w:rPr>
            </w:pPr>
            <w:r w:rsidRPr="00A4252C">
              <w:rPr>
                <w:rFonts w:ascii="Arial Narrow" w:hAnsi="Arial Narrow" w:cs="Arial"/>
                <w:sz w:val="15"/>
                <w:szCs w:val="15"/>
              </w:rPr>
              <w:t>Rilevazione di tipo censuario realizzata attraverso l’integrazione tra:</w:t>
            </w:r>
          </w:p>
          <w:p w14:paraId="3DA3C54A" w14:textId="77777777" w:rsidR="004176C3" w:rsidRPr="00A4252C" w:rsidRDefault="004176C3" w:rsidP="00C13A4E">
            <w:pPr>
              <w:numPr>
                <w:ilvl w:val="0"/>
                <w:numId w:val="4"/>
              </w:numPr>
              <w:tabs>
                <w:tab w:val="left" w:pos="237"/>
              </w:tabs>
              <w:spacing w:before="60" w:after="60"/>
              <w:ind w:left="0" w:firstLine="0"/>
              <w:jc w:val="left"/>
              <w:rPr>
                <w:rFonts w:ascii="Arial Narrow" w:hAnsi="Arial Narrow" w:cs="Arial"/>
                <w:iCs/>
                <w:sz w:val="15"/>
                <w:szCs w:val="15"/>
              </w:rPr>
            </w:pPr>
            <w:r w:rsidRPr="00A4252C">
              <w:rPr>
                <w:rFonts w:ascii="Arial Narrow" w:hAnsi="Arial Narrow" w:cs="Arial"/>
                <w:iCs/>
                <w:sz w:val="15"/>
                <w:szCs w:val="15"/>
              </w:rPr>
              <w:t>dati dell’indagine mensile sulle grandi imprese con 500 e più dipendenti (GI);</w:t>
            </w:r>
          </w:p>
          <w:p w14:paraId="4ED46B9E" w14:textId="77777777" w:rsidR="004176C3" w:rsidRPr="00A4252C" w:rsidRDefault="004176C3" w:rsidP="007A2049">
            <w:pPr>
              <w:numPr>
                <w:ilvl w:val="0"/>
                <w:numId w:val="4"/>
              </w:numPr>
              <w:tabs>
                <w:tab w:val="left" w:pos="237"/>
              </w:tabs>
              <w:spacing w:before="60" w:after="0"/>
              <w:ind w:left="0" w:firstLine="0"/>
              <w:jc w:val="left"/>
              <w:rPr>
                <w:rFonts w:ascii="Arial Narrow" w:hAnsi="Arial Narrow" w:cs="Arial"/>
                <w:iCs/>
                <w:sz w:val="15"/>
                <w:szCs w:val="15"/>
              </w:rPr>
            </w:pPr>
            <w:r w:rsidRPr="00A4252C">
              <w:rPr>
                <w:rFonts w:ascii="Arial Narrow" w:hAnsi="Arial Narrow" w:cs="Arial"/>
                <w:iCs/>
                <w:sz w:val="15"/>
                <w:szCs w:val="15"/>
              </w:rPr>
              <w:t>dati di fonte amministrativa per le imprese con dipendenti di piccola e media dimensione e di grandi dimensioni non coperti dall’indagine mensile GI (denunce retributive e contributive Inps, DM2013 virtuale).</w:t>
            </w:r>
          </w:p>
        </w:tc>
        <w:tc>
          <w:tcPr>
            <w:tcW w:w="1293" w:type="dxa"/>
            <w:tcBorders>
              <w:left w:val="nil"/>
              <w:right w:val="nil"/>
            </w:tcBorders>
            <w:shd w:val="clear" w:color="auto" w:fill="FFFFFF" w:themeFill="background1"/>
          </w:tcPr>
          <w:p w14:paraId="46316E08"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sz w:val="15"/>
                <w:szCs w:val="15"/>
              </w:rPr>
              <w:t xml:space="preserve">Elaborazione di tipo statistico, che permette di stimare l’input di lavoro, attraverso l’integrazione e il confronto di fonti statistiche e amministrative e utilizzando metodi di stima indiretti. </w:t>
            </w:r>
          </w:p>
          <w:p w14:paraId="7156F661" w14:textId="77777777" w:rsidR="004176C3" w:rsidRPr="00A4252C" w:rsidRDefault="004176C3" w:rsidP="00C13A4E">
            <w:pPr>
              <w:spacing w:before="60" w:after="60"/>
              <w:jc w:val="left"/>
              <w:rPr>
                <w:rFonts w:ascii="Arial Narrow" w:hAnsi="Arial Narrow" w:cs="Arial"/>
                <w:sz w:val="15"/>
                <w:szCs w:val="15"/>
              </w:rPr>
            </w:pPr>
          </w:p>
        </w:tc>
      </w:tr>
      <w:tr w:rsidR="004176C3" w:rsidRPr="00A4252C" w14:paraId="12B41754" w14:textId="77777777" w:rsidTr="007A2049">
        <w:trPr>
          <w:cantSplit/>
          <w:trHeight w:val="1623"/>
        </w:trPr>
        <w:tc>
          <w:tcPr>
            <w:tcW w:w="1276" w:type="dxa"/>
            <w:tcBorders>
              <w:left w:val="nil"/>
              <w:right w:val="nil"/>
            </w:tcBorders>
          </w:tcPr>
          <w:p w14:paraId="444B77F4" w14:textId="77777777" w:rsidR="004176C3" w:rsidRPr="00A4252C" w:rsidRDefault="004176C3" w:rsidP="007A2049">
            <w:pPr>
              <w:spacing w:before="60" w:after="60"/>
              <w:ind w:right="-108"/>
              <w:jc w:val="left"/>
              <w:rPr>
                <w:rFonts w:ascii="Arial Narrow" w:hAnsi="Arial Narrow" w:cs="Arial"/>
                <w:b/>
                <w:sz w:val="15"/>
                <w:szCs w:val="15"/>
              </w:rPr>
            </w:pPr>
            <w:r w:rsidRPr="00A4252C">
              <w:rPr>
                <w:rFonts w:ascii="Arial Narrow" w:hAnsi="Arial Narrow" w:cs="Arial"/>
                <w:b/>
                <w:sz w:val="15"/>
                <w:szCs w:val="15"/>
              </w:rPr>
              <w:t>Unità di rilevazione/Soggetti obbligati alla fornitura dei dati</w:t>
            </w:r>
          </w:p>
        </w:tc>
        <w:tc>
          <w:tcPr>
            <w:tcW w:w="1424" w:type="dxa"/>
            <w:tcBorders>
              <w:left w:val="nil"/>
              <w:right w:val="nil"/>
            </w:tcBorders>
            <w:shd w:val="clear" w:color="auto" w:fill="F2F2F2" w:themeFill="background1" w:themeFillShade="F2"/>
          </w:tcPr>
          <w:p w14:paraId="1E45AFBF"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Datori di lavoro: sia imprese e istituzioni pubbliche (escluse le Forze Armate) sia famiglie (per il lavoro domestico), residenti in Italia.</w:t>
            </w:r>
          </w:p>
        </w:tc>
        <w:tc>
          <w:tcPr>
            <w:tcW w:w="1424" w:type="dxa"/>
            <w:tcBorders>
              <w:left w:val="nil"/>
              <w:right w:val="nil"/>
            </w:tcBorders>
            <w:shd w:val="clear" w:color="auto" w:fill="FFFFFF" w:themeFill="background1"/>
          </w:tcPr>
          <w:p w14:paraId="43097AEE" w14:textId="0961EF48" w:rsidR="004176C3" w:rsidRPr="00A4252C" w:rsidRDefault="004176C3" w:rsidP="00C13A4E">
            <w:pPr>
              <w:spacing w:before="60" w:after="60"/>
              <w:jc w:val="left"/>
              <w:rPr>
                <w:rFonts w:ascii="Arial Narrow" w:hAnsi="Arial Narrow" w:cs="Arial"/>
                <w:b/>
                <w:sz w:val="15"/>
                <w:szCs w:val="15"/>
              </w:rPr>
            </w:pPr>
            <w:r w:rsidRPr="00A4252C">
              <w:rPr>
                <w:rFonts w:ascii="Arial Narrow" w:hAnsi="Arial Narrow"/>
                <w:sz w:val="15"/>
                <w:szCs w:val="15"/>
              </w:rPr>
              <w:t>Datori di lavoro (Imprese e Enti pubblici economici) residenti in Italia che presentano le denunce retributive e contributive relative ai propri lavoratori dipendenti.</w:t>
            </w:r>
          </w:p>
        </w:tc>
        <w:tc>
          <w:tcPr>
            <w:tcW w:w="1424" w:type="dxa"/>
            <w:tcBorders>
              <w:left w:val="nil"/>
              <w:right w:val="nil"/>
            </w:tcBorders>
            <w:shd w:val="clear" w:color="auto" w:fill="F2F2F2" w:themeFill="background1" w:themeFillShade="F2"/>
          </w:tcPr>
          <w:p w14:paraId="5DBDE668" w14:textId="77777777" w:rsidR="004176C3" w:rsidRPr="00A4252C" w:rsidRDefault="004176C3" w:rsidP="00C13A4E">
            <w:pPr>
              <w:spacing w:before="60" w:after="60"/>
              <w:jc w:val="left"/>
              <w:rPr>
                <w:rFonts w:ascii="Arial Narrow" w:hAnsi="Arial Narrow" w:cs="Arial"/>
                <w:iCs/>
                <w:sz w:val="15"/>
                <w:szCs w:val="15"/>
              </w:rPr>
            </w:pPr>
            <w:r w:rsidRPr="00A4252C">
              <w:rPr>
                <w:rFonts w:ascii="Arial Narrow" w:hAnsi="Arial Narrow" w:cs="Arial"/>
                <w:sz w:val="15"/>
                <w:szCs w:val="15"/>
              </w:rPr>
              <w:t>Datori di lavoro (Imprese, Famiglie, Professionisti, ecc.) che utilizzano prestazioni di lavoro accessorio.</w:t>
            </w:r>
          </w:p>
        </w:tc>
        <w:tc>
          <w:tcPr>
            <w:tcW w:w="1232" w:type="dxa"/>
            <w:tcBorders>
              <w:left w:val="nil"/>
              <w:right w:val="nil"/>
            </w:tcBorders>
            <w:shd w:val="clear" w:color="auto" w:fill="FFFFFF" w:themeFill="background1"/>
          </w:tcPr>
          <w:p w14:paraId="593D1DD7"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iCs/>
                <w:sz w:val="15"/>
                <w:szCs w:val="15"/>
              </w:rPr>
              <w:t>Famiglie residenti sul territorio nazionale, Sono escluse le comunità e le convivenze (istituti religiosi, caserme, ecc.).</w:t>
            </w:r>
          </w:p>
        </w:tc>
        <w:tc>
          <w:tcPr>
            <w:tcW w:w="1424" w:type="dxa"/>
            <w:tcBorders>
              <w:left w:val="nil"/>
              <w:right w:val="nil"/>
            </w:tcBorders>
            <w:shd w:val="clear" w:color="auto" w:fill="F2F2F2" w:themeFill="background1" w:themeFillShade="F2"/>
          </w:tcPr>
          <w:p w14:paraId="18AE96D3"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iCs/>
                <w:sz w:val="15"/>
                <w:szCs w:val="15"/>
              </w:rPr>
              <w:t>Imprese e istituzioni private attive residenti in Italia con dipendenti..</w:t>
            </w:r>
          </w:p>
        </w:tc>
        <w:tc>
          <w:tcPr>
            <w:tcW w:w="1293" w:type="dxa"/>
            <w:tcBorders>
              <w:left w:val="nil"/>
              <w:right w:val="nil"/>
            </w:tcBorders>
            <w:shd w:val="clear" w:color="auto" w:fill="FFFFFF" w:themeFill="background1"/>
          </w:tcPr>
          <w:p w14:paraId="7CDCEEB2" w14:textId="77777777" w:rsidR="004176C3" w:rsidRPr="00A4252C" w:rsidRDefault="004176C3" w:rsidP="00C13A4E">
            <w:pPr>
              <w:spacing w:before="60" w:after="60"/>
              <w:jc w:val="left"/>
              <w:rPr>
                <w:rFonts w:ascii="Arial Narrow" w:hAnsi="Arial Narrow" w:cs="Arial"/>
                <w:strike/>
                <w:color w:val="1D1B11"/>
                <w:sz w:val="15"/>
                <w:szCs w:val="15"/>
              </w:rPr>
            </w:pPr>
            <w:r w:rsidRPr="00A4252C">
              <w:rPr>
                <w:rFonts w:ascii="Arial Narrow" w:hAnsi="Arial Narrow" w:cs="Arial"/>
                <w:sz w:val="15"/>
                <w:szCs w:val="15"/>
              </w:rPr>
              <w:t>Unità produttive residenti sul territorio economico del paese</w:t>
            </w:r>
            <w:r w:rsidRPr="00A4252C">
              <w:rPr>
                <w:rFonts w:ascii="Arial Narrow" w:hAnsi="Arial Narrow" w:cs="Arial"/>
                <w:color w:val="1D1B11"/>
                <w:sz w:val="15"/>
                <w:szCs w:val="15"/>
              </w:rPr>
              <w:t xml:space="preserve">. </w:t>
            </w:r>
          </w:p>
          <w:p w14:paraId="42BE1EE5"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Dal lato dell’offerta di lavoro sono incluse le persone non residenti che lavorano presso unità di produzione residenti e sono escluse le persone residenti che lavorano presso unità di produzione non residenti sul territorio economico del paese.</w:t>
            </w:r>
          </w:p>
        </w:tc>
      </w:tr>
      <w:tr w:rsidR="004176C3" w:rsidRPr="00A4252C" w14:paraId="58AB99C8" w14:textId="77777777" w:rsidTr="007A2049">
        <w:trPr>
          <w:cantSplit/>
        </w:trPr>
        <w:tc>
          <w:tcPr>
            <w:tcW w:w="1276" w:type="dxa"/>
            <w:tcBorders>
              <w:left w:val="nil"/>
              <w:right w:val="nil"/>
            </w:tcBorders>
          </w:tcPr>
          <w:p w14:paraId="21EFA6B8" w14:textId="77777777" w:rsidR="004176C3" w:rsidRPr="00A4252C" w:rsidRDefault="004176C3" w:rsidP="007A2049">
            <w:pPr>
              <w:spacing w:before="60" w:after="60"/>
              <w:ind w:right="-108"/>
              <w:jc w:val="left"/>
              <w:rPr>
                <w:rFonts w:ascii="Arial Narrow" w:hAnsi="Arial Narrow" w:cs="Arial"/>
                <w:b/>
                <w:sz w:val="15"/>
                <w:szCs w:val="15"/>
              </w:rPr>
            </w:pPr>
            <w:r w:rsidRPr="00A4252C">
              <w:rPr>
                <w:rFonts w:ascii="Arial Narrow" w:hAnsi="Arial Narrow" w:cs="Arial"/>
                <w:b/>
                <w:sz w:val="15"/>
                <w:szCs w:val="15"/>
              </w:rPr>
              <w:t>Copertura</w:t>
            </w:r>
          </w:p>
        </w:tc>
        <w:tc>
          <w:tcPr>
            <w:tcW w:w="1424" w:type="dxa"/>
            <w:tcBorders>
              <w:left w:val="nil"/>
              <w:right w:val="nil"/>
            </w:tcBorders>
            <w:shd w:val="clear" w:color="auto" w:fill="F2F2F2" w:themeFill="background1" w:themeFillShade="F2"/>
          </w:tcPr>
          <w:p w14:paraId="01DB92FA"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Occupazione dipendente regolare, parasubordinata, regolare, , nei settori di attività economica da A a U dell’Ateco 2007</w:t>
            </w:r>
            <w:r w:rsidRPr="00A4252C">
              <w:rPr>
                <w:rStyle w:val="Rimandonotaapidipagina"/>
                <w:rFonts w:ascii="Arial Narrow" w:hAnsi="Arial Narrow" w:cs="Arial"/>
                <w:sz w:val="15"/>
                <w:szCs w:val="15"/>
              </w:rPr>
              <w:footnoteReference w:id="23"/>
            </w:r>
            <w:r w:rsidRPr="00A4252C">
              <w:rPr>
                <w:rFonts w:ascii="Arial Narrow" w:hAnsi="Arial Narrow" w:cs="Arial"/>
                <w:sz w:val="15"/>
                <w:szCs w:val="15"/>
              </w:rPr>
              <w:t>.</w:t>
            </w:r>
          </w:p>
          <w:p w14:paraId="5FA221CA" w14:textId="77777777" w:rsidR="004176C3" w:rsidRPr="00A4252C" w:rsidRDefault="004176C3" w:rsidP="00C13A4E">
            <w:pPr>
              <w:spacing w:before="60" w:after="60"/>
              <w:jc w:val="left"/>
              <w:rPr>
                <w:rFonts w:ascii="Arial Narrow" w:hAnsi="Arial Narrow" w:cs="Arial"/>
                <w:sz w:val="15"/>
                <w:szCs w:val="15"/>
              </w:rPr>
            </w:pPr>
          </w:p>
          <w:p w14:paraId="69F7193A"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E’ escluso il lavoro in somministrazione e, parzialmente, del settore marittimo.</w:t>
            </w:r>
          </w:p>
          <w:p w14:paraId="478FA48E" w14:textId="77777777" w:rsidR="004176C3" w:rsidRPr="00A4252C" w:rsidRDefault="004176C3" w:rsidP="00C13A4E">
            <w:pPr>
              <w:spacing w:before="60" w:after="60"/>
              <w:jc w:val="left"/>
              <w:rPr>
                <w:rFonts w:ascii="Arial Narrow" w:hAnsi="Arial Narrow" w:cs="Arial"/>
                <w:sz w:val="15"/>
                <w:szCs w:val="15"/>
              </w:rPr>
            </w:pPr>
          </w:p>
          <w:p w14:paraId="6CA8B74C" w14:textId="77777777" w:rsidR="004176C3" w:rsidRPr="00A4252C" w:rsidRDefault="004176C3" w:rsidP="00C13A4E">
            <w:pPr>
              <w:spacing w:before="60" w:after="60"/>
              <w:jc w:val="left"/>
              <w:rPr>
                <w:rFonts w:ascii="Arial Narrow" w:hAnsi="Arial Narrow" w:cs="Arial"/>
                <w:iCs/>
                <w:sz w:val="15"/>
                <w:szCs w:val="15"/>
              </w:rPr>
            </w:pPr>
            <w:r w:rsidRPr="00A4252C">
              <w:rPr>
                <w:rFonts w:ascii="Arial Narrow" w:hAnsi="Arial Narrow" w:cs="Arial"/>
                <w:iCs/>
                <w:sz w:val="15"/>
                <w:szCs w:val="15"/>
              </w:rPr>
              <w:t>Sono escluse le figure apicali quali, ad esempio, presidenti e amministratori delegati di società pubbliche e private.</w:t>
            </w:r>
          </w:p>
        </w:tc>
        <w:tc>
          <w:tcPr>
            <w:tcW w:w="1424" w:type="dxa"/>
            <w:tcBorders>
              <w:left w:val="nil"/>
              <w:right w:val="nil"/>
            </w:tcBorders>
            <w:shd w:val="clear" w:color="auto" w:fill="FFFFFF" w:themeFill="background1"/>
          </w:tcPr>
          <w:p w14:paraId="766FCFCB" w14:textId="7BEB0232"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 xml:space="preserve">Occupazione dipendente regolare del settore privato e del settore pubblico (solo i lavoratori degli Enti pubblici economici), nei settori di attività economica da A a U dell’Ateco 2007. </w:t>
            </w:r>
          </w:p>
          <w:p w14:paraId="672AB9F3" w14:textId="01C02843"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 xml:space="preserve">Tra i lavoratori dipendenti sono inclusi i lavoratori stagionali, i lavoratori somministrati, e i lavoratori a chiamata (intermittenti). </w:t>
            </w:r>
          </w:p>
          <w:p w14:paraId="6D2C8F84" w14:textId="77777777" w:rsidR="004176C3" w:rsidRPr="00A4252C" w:rsidRDefault="004176C3" w:rsidP="00C13A4E">
            <w:pPr>
              <w:spacing w:before="60" w:after="60"/>
              <w:jc w:val="left"/>
              <w:rPr>
                <w:rFonts w:ascii="Arial Narrow" w:hAnsi="Arial Narrow" w:cs="Arial"/>
                <w:b/>
                <w:iCs/>
                <w:sz w:val="15"/>
                <w:szCs w:val="15"/>
              </w:rPr>
            </w:pPr>
            <w:r w:rsidRPr="00A4252C">
              <w:rPr>
                <w:rFonts w:ascii="Arial Narrow" w:hAnsi="Arial Narrow" w:cs="Arial"/>
                <w:sz w:val="15"/>
                <w:szCs w:val="15"/>
              </w:rPr>
              <w:t>Sono, invece, esclusi i lavoratori domestici e gli operai agricoli.</w:t>
            </w:r>
          </w:p>
        </w:tc>
        <w:tc>
          <w:tcPr>
            <w:tcW w:w="1424" w:type="dxa"/>
            <w:tcBorders>
              <w:left w:val="nil"/>
              <w:right w:val="nil"/>
            </w:tcBorders>
            <w:shd w:val="clear" w:color="auto" w:fill="F2F2F2" w:themeFill="background1" w:themeFillShade="F2"/>
          </w:tcPr>
          <w:p w14:paraId="618ABEE6"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Prestazioni lavorative di “natura” accessoria e occasionale, attualmente definite da un limite economico sul compenso del lavoratore, che nell’anno solare non può superare un determinato tetto, e dalla forma di corresponsione dello stesso, tramite buoni lavoro.</w:t>
            </w:r>
          </w:p>
        </w:tc>
        <w:tc>
          <w:tcPr>
            <w:tcW w:w="1232" w:type="dxa"/>
            <w:tcBorders>
              <w:left w:val="nil"/>
              <w:right w:val="nil"/>
            </w:tcBorders>
            <w:shd w:val="clear" w:color="auto" w:fill="FFFFFF" w:themeFill="background1"/>
          </w:tcPr>
          <w:p w14:paraId="22CA78D0"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 xml:space="preserve">Occupazione dipendente e indipendente, regolare o irregolare, nei settori di attività economica da A a U dell’Ateco 20077. </w:t>
            </w:r>
          </w:p>
        </w:tc>
        <w:tc>
          <w:tcPr>
            <w:tcW w:w="1424" w:type="dxa"/>
            <w:tcBorders>
              <w:left w:val="nil"/>
              <w:right w:val="nil"/>
            </w:tcBorders>
            <w:shd w:val="clear" w:color="auto" w:fill="F2F2F2" w:themeFill="background1" w:themeFillShade="F2"/>
          </w:tcPr>
          <w:p w14:paraId="4C8995AF"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Occupazione dipendente regolare, nei settori di attività economica di industria e servizi, da B a S, escluso O, dell’Ateco 2007.</w:t>
            </w:r>
          </w:p>
          <w:p w14:paraId="55403769" w14:textId="77777777" w:rsidR="004176C3" w:rsidRPr="00A4252C" w:rsidRDefault="004176C3" w:rsidP="00C13A4E">
            <w:pPr>
              <w:spacing w:before="60" w:after="60"/>
              <w:jc w:val="left"/>
              <w:rPr>
                <w:rFonts w:ascii="Arial Narrow" w:hAnsi="Arial Narrow" w:cs="Arial"/>
                <w:iCs/>
                <w:sz w:val="15"/>
                <w:szCs w:val="15"/>
              </w:rPr>
            </w:pPr>
          </w:p>
        </w:tc>
        <w:tc>
          <w:tcPr>
            <w:tcW w:w="1293" w:type="dxa"/>
            <w:tcBorders>
              <w:left w:val="nil"/>
              <w:right w:val="nil"/>
            </w:tcBorders>
            <w:shd w:val="clear" w:color="auto" w:fill="FFFFFF" w:themeFill="background1"/>
          </w:tcPr>
          <w:p w14:paraId="1B9A9302" w14:textId="77777777" w:rsidR="004176C3" w:rsidRPr="00A4252C" w:rsidRDefault="004176C3" w:rsidP="00C13A4E">
            <w:pPr>
              <w:spacing w:before="60" w:after="60"/>
              <w:jc w:val="left"/>
              <w:rPr>
                <w:rFonts w:ascii="Arial Narrow" w:hAnsi="Arial Narrow" w:cs="Arial"/>
                <w:sz w:val="15"/>
                <w:szCs w:val="15"/>
              </w:rPr>
            </w:pPr>
            <w:r w:rsidRPr="00A4252C">
              <w:rPr>
                <w:rFonts w:ascii="Arial Narrow" w:hAnsi="Arial Narrow" w:cs="Arial"/>
                <w:sz w:val="15"/>
                <w:szCs w:val="15"/>
              </w:rPr>
              <w:t>Occupazione dipendente e indipendente, regolare e irregolare, nei settori di attività economica da A a U dell’Ateco 2007.</w:t>
            </w:r>
          </w:p>
          <w:p w14:paraId="140681BB" w14:textId="77777777" w:rsidR="004176C3" w:rsidRPr="00A4252C" w:rsidRDefault="004176C3" w:rsidP="00C13A4E">
            <w:pPr>
              <w:spacing w:before="60" w:after="60"/>
              <w:jc w:val="left"/>
              <w:rPr>
                <w:rFonts w:ascii="Arial Narrow" w:hAnsi="Arial Narrow" w:cs="Arial"/>
                <w:iCs/>
                <w:sz w:val="15"/>
                <w:szCs w:val="15"/>
              </w:rPr>
            </w:pPr>
          </w:p>
        </w:tc>
      </w:tr>
    </w:tbl>
    <w:p w14:paraId="386D5BA5" w14:textId="77777777" w:rsidR="004176C3" w:rsidRPr="00A4252C" w:rsidRDefault="004176C3" w:rsidP="00C52037">
      <w:pPr>
        <w:rPr>
          <w:rFonts w:cs="Arial"/>
          <w:b/>
          <w:color w:val="000000"/>
          <w:sz w:val="24"/>
          <w:szCs w:val="26"/>
        </w:rPr>
      </w:pPr>
    </w:p>
    <w:p w14:paraId="73FCF2B3" w14:textId="41E48473" w:rsidR="00C13A4E" w:rsidRPr="00A4252C" w:rsidRDefault="00C13A4E" w:rsidP="00C52037">
      <w:pPr>
        <w:rPr>
          <w:rFonts w:cs="Arial"/>
          <w:b/>
          <w:color w:val="000000"/>
          <w:sz w:val="24"/>
          <w:szCs w:val="26"/>
        </w:rPr>
      </w:pPr>
      <w:r w:rsidRPr="00A4252C">
        <w:rPr>
          <w:rFonts w:ascii="Arial Narrow" w:hAnsi="Arial Narrow" w:cs="Arial"/>
          <w:b/>
          <w:caps/>
          <w:color w:val="17365D"/>
          <w:kern w:val="28"/>
        </w:rPr>
        <w:t>Prospetto</w:t>
      </w:r>
      <w:r w:rsidRPr="00A4252C">
        <w:rPr>
          <w:rFonts w:ascii="Arial Narrow" w:hAnsi="Arial Narrow" w:cs="Arial"/>
          <w:b/>
          <w:color w:val="17365D"/>
          <w:kern w:val="28"/>
        </w:rPr>
        <w:t xml:space="preserve"> 1 (segue). LE CARATTERISTICHE DELLE FONTI ORIGINALI DEI DATI SULL’OCCUPAZIONE</w:t>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C13A4E" w:rsidRPr="00A4252C" w14:paraId="2D0D4B3E" w14:textId="77777777" w:rsidTr="007A2049">
        <w:trPr>
          <w:cantSplit/>
        </w:trPr>
        <w:tc>
          <w:tcPr>
            <w:tcW w:w="1457" w:type="dxa"/>
            <w:tcBorders>
              <w:left w:val="nil"/>
              <w:right w:val="nil"/>
            </w:tcBorders>
          </w:tcPr>
          <w:p w14:paraId="0DCC21A7" w14:textId="77777777" w:rsidR="00C13A4E" w:rsidRPr="00A4252C" w:rsidRDefault="00C13A4E" w:rsidP="00D34956">
            <w:pPr>
              <w:spacing w:before="40" w:after="40"/>
              <w:jc w:val="left"/>
              <w:rPr>
                <w:rFonts w:ascii="Arial Narrow" w:hAnsi="Arial Narrow" w:cs="Arial"/>
                <w:b/>
                <w:sz w:val="15"/>
                <w:szCs w:val="15"/>
              </w:rPr>
            </w:pPr>
          </w:p>
        </w:tc>
        <w:tc>
          <w:tcPr>
            <w:tcW w:w="1457" w:type="dxa"/>
            <w:tcBorders>
              <w:left w:val="nil"/>
              <w:right w:val="nil"/>
            </w:tcBorders>
            <w:shd w:val="clear" w:color="auto" w:fill="FFFFFF" w:themeFill="background1"/>
          </w:tcPr>
          <w:p w14:paraId="6B33BFD5" w14:textId="77777777" w:rsidR="00C13A4E" w:rsidRPr="00A4252C" w:rsidRDefault="00C13A4E" w:rsidP="00D34956">
            <w:pPr>
              <w:spacing w:before="40" w:after="40"/>
              <w:jc w:val="left"/>
              <w:rPr>
                <w:rFonts w:ascii="Arial Narrow" w:hAnsi="Arial Narrow" w:cs="Arial"/>
                <w:sz w:val="15"/>
                <w:szCs w:val="15"/>
              </w:rPr>
            </w:pPr>
            <w:r w:rsidRPr="00A4252C">
              <w:rPr>
                <w:rFonts w:ascii="Arial Narrow" w:hAnsi="Arial Narrow" w:cs="Arial"/>
                <w:b/>
                <w:sz w:val="15"/>
                <w:szCs w:val="15"/>
              </w:rPr>
              <w:t>Comunicazioni obbligatorie (SISCO)</w:t>
            </w:r>
          </w:p>
        </w:tc>
        <w:tc>
          <w:tcPr>
            <w:tcW w:w="1457" w:type="dxa"/>
            <w:tcBorders>
              <w:left w:val="nil"/>
              <w:right w:val="nil"/>
            </w:tcBorders>
            <w:shd w:val="clear" w:color="auto" w:fill="FFFFFF" w:themeFill="background1"/>
          </w:tcPr>
          <w:p w14:paraId="3B53491D" w14:textId="77777777" w:rsidR="00C13A4E" w:rsidRPr="00A4252C" w:rsidRDefault="00C13A4E" w:rsidP="00D34956">
            <w:pPr>
              <w:spacing w:before="40" w:after="40"/>
              <w:jc w:val="left"/>
              <w:rPr>
                <w:rFonts w:ascii="Arial Narrow" w:hAnsi="Arial Narrow" w:cs="Arial"/>
                <w:b/>
                <w:sz w:val="15"/>
                <w:szCs w:val="15"/>
              </w:rPr>
            </w:pPr>
            <w:r w:rsidRPr="00A4252C">
              <w:rPr>
                <w:rFonts w:ascii="Arial Narrow" w:hAnsi="Arial Narrow" w:cs="Arial"/>
                <w:b/>
                <w:sz w:val="15"/>
                <w:szCs w:val="15"/>
              </w:rPr>
              <w:t xml:space="preserve">UniEmens </w:t>
            </w:r>
          </w:p>
          <w:p w14:paraId="0528A53F" w14:textId="77777777" w:rsidR="00C13A4E" w:rsidRPr="00A4252C" w:rsidRDefault="00C13A4E" w:rsidP="00D34956">
            <w:pPr>
              <w:spacing w:before="40" w:after="40"/>
              <w:jc w:val="left"/>
              <w:rPr>
                <w:rFonts w:ascii="Arial Narrow" w:hAnsi="Arial Narrow"/>
                <w:sz w:val="15"/>
                <w:szCs w:val="15"/>
              </w:rPr>
            </w:pPr>
            <w:r w:rsidRPr="00A4252C">
              <w:rPr>
                <w:rFonts w:ascii="Arial Narrow" w:hAnsi="Arial Narrow" w:cs="Arial"/>
                <w:b/>
                <w:sz w:val="15"/>
                <w:szCs w:val="15"/>
              </w:rPr>
              <w:t>(Osservatorio sul Precariato)</w:t>
            </w:r>
          </w:p>
        </w:tc>
        <w:tc>
          <w:tcPr>
            <w:tcW w:w="1457" w:type="dxa"/>
            <w:tcBorders>
              <w:left w:val="nil"/>
              <w:right w:val="nil"/>
            </w:tcBorders>
            <w:shd w:val="clear" w:color="auto" w:fill="FFFFFF" w:themeFill="background1"/>
          </w:tcPr>
          <w:p w14:paraId="03580ED9" w14:textId="77777777" w:rsidR="00C13A4E" w:rsidRPr="00A4252C" w:rsidRDefault="00C13A4E" w:rsidP="00D34956">
            <w:pPr>
              <w:spacing w:before="40" w:after="40"/>
              <w:jc w:val="left"/>
              <w:rPr>
                <w:rFonts w:ascii="Arial Narrow" w:hAnsi="Arial Narrow" w:cs="Arial"/>
                <w:b/>
                <w:sz w:val="15"/>
                <w:szCs w:val="15"/>
              </w:rPr>
            </w:pPr>
            <w:r w:rsidRPr="00A4252C">
              <w:rPr>
                <w:rFonts w:ascii="Arial Narrow" w:hAnsi="Arial Narrow" w:cs="Arial"/>
                <w:b/>
                <w:sz w:val="15"/>
                <w:szCs w:val="15"/>
              </w:rPr>
              <w:t>Voucher</w:t>
            </w:r>
          </w:p>
          <w:p w14:paraId="643E4DB5" w14:textId="77777777" w:rsidR="00C13A4E" w:rsidRPr="00A4252C" w:rsidRDefault="00C13A4E" w:rsidP="00D34956">
            <w:pPr>
              <w:spacing w:before="40" w:after="40"/>
              <w:jc w:val="left"/>
              <w:rPr>
                <w:rFonts w:ascii="Arial Narrow" w:hAnsi="Arial Narrow"/>
                <w:sz w:val="15"/>
                <w:szCs w:val="15"/>
              </w:rPr>
            </w:pPr>
            <w:r w:rsidRPr="00A4252C">
              <w:rPr>
                <w:rFonts w:ascii="Arial Narrow" w:hAnsi="Arial Narrow" w:cs="Arial"/>
                <w:b/>
                <w:sz w:val="15"/>
                <w:szCs w:val="15"/>
              </w:rPr>
              <w:t>(Osservatorio sul lavoro accessorio)</w:t>
            </w:r>
          </w:p>
        </w:tc>
        <w:tc>
          <w:tcPr>
            <w:tcW w:w="1457" w:type="dxa"/>
            <w:tcBorders>
              <w:left w:val="nil"/>
              <w:right w:val="nil"/>
            </w:tcBorders>
            <w:shd w:val="clear" w:color="auto" w:fill="FFFFFF" w:themeFill="background1"/>
            <w:vAlign w:val="center"/>
          </w:tcPr>
          <w:p w14:paraId="4537FF68" w14:textId="77777777" w:rsidR="00C13A4E" w:rsidRPr="00A4252C" w:rsidRDefault="00C13A4E" w:rsidP="00D34956">
            <w:pPr>
              <w:spacing w:before="40" w:after="40"/>
              <w:jc w:val="left"/>
              <w:rPr>
                <w:rFonts w:ascii="Arial Narrow" w:hAnsi="Arial Narrow" w:cs="Arial"/>
                <w:sz w:val="15"/>
                <w:szCs w:val="15"/>
              </w:rPr>
            </w:pPr>
            <w:r w:rsidRPr="00A4252C">
              <w:rPr>
                <w:rFonts w:ascii="Arial Narrow" w:hAnsi="Arial Narrow" w:cs="Arial"/>
                <w:b/>
                <w:sz w:val="15"/>
                <w:szCs w:val="15"/>
              </w:rPr>
              <w:t>Rilevazione sulle forze di lavoro</w:t>
            </w:r>
          </w:p>
        </w:tc>
        <w:tc>
          <w:tcPr>
            <w:tcW w:w="1457" w:type="dxa"/>
            <w:tcBorders>
              <w:left w:val="nil"/>
              <w:right w:val="nil"/>
            </w:tcBorders>
            <w:shd w:val="clear" w:color="auto" w:fill="FFFFFF" w:themeFill="background1"/>
            <w:vAlign w:val="center"/>
          </w:tcPr>
          <w:p w14:paraId="104E0CC7" w14:textId="77777777" w:rsidR="00C13A4E" w:rsidRPr="00A4252C" w:rsidRDefault="00C13A4E" w:rsidP="00D34956">
            <w:pPr>
              <w:spacing w:before="40" w:after="40"/>
              <w:jc w:val="left"/>
              <w:rPr>
                <w:rFonts w:ascii="Arial Narrow" w:hAnsi="Arial Narrow" w:cs="Arial"/>
                <w:iCs/>
                <w:sz w:val="15"/>
                <w:szCs w:val="15"/>
              </w:rPr>
            </w:pPr>
            <w:r w:rsidRPr="00A4252C">
              <w:rPr>
                <w:rFonts w:ascii="Arial Narrow" w:hAnsi="Arial Narrow" w:cs="Arial"/>
                <w:b/>
                <w:sz w:val="15"/>
                <w:szCs w:val="15"/>
              </w:rPr>
              <w:t>Indicatori sulle imprese (Rilevazioni Oros e Grandi imprese)</w:t>
            </w:r>
          </w:p>
        </w:tc>
        <w:tc>
          <w:tcPr>
            <w:tcW w:w="1457" w:type="dxa"/>
            <w:tcBorders>
              <w:left w:val="nil"/>
              <w:right w:val="nil"/>
            </w:tcBorders>
            <w:shd w:val="clear" w:color="auto" w:fill="FFFFFF" w:themeFill="background1"/>
            <w:vAlign w:val="center"/>
          </w:tcPr>
          <w:p w14:paraId="1D4CF986" w14:textId="77777777" w:rsidR="00C13A4E" w:rsidRPr="00A4252C" w:rsidRDefault="00C13A4E" w:rsidP="00D34956">
            <w:pPr>
              <w:spacing w:before="40" w:after="40"/>
              <w:jc w:val="left"/>
              <w:rPr>
                <w:rFonts w:ascii="Arial Narrow" w:hAnsi="Arial Narrow" w:cs="Arial"/>
                <w:sz w:val="15"/>
                <w:szCs w:val="15"/>
              </w:rPr>
            </w:pPr>
            <w:r w:rsidRPr="00A4252C">
              <w:rPr>
                <w:rFonts w:ascii="Arial Narrow" w:hAnsi="Arial Narrow" w:cs="Arial"/>
                <w:b/>
                <w:sz w:val="15"/>
                <w:szCs w:val="15"/>
              </w:rPr>
              <w:t>Contabilità nazionale</w:t>
            </w:r>
          </w:p>
        </w:tc>
      </w:tr>
      <w:tr w:rsidR="00C13A4E" w:rsidRPr="00A4252C" w14:paraId="706557CC" w14:textId="77777777" w:rsidTr="007A2049">
        <w:trPr>
          <w:cantSplit/>
        </w:trPr>
        <w:tc>
          <w:tcPr>
            <w:tcW w:w="1457" w:type="dxa"/>
            <w:tcBorders>
              <w:left w:val="nil"/>
              <w:right w:val="nil"/>
            </w:tcBorders>
          </w:tcPr>
          <w:p w14:paraId="720C60E3" w14:textId="77777777" w:rsidR="00C13A4E" w:rsidRPr="00A4252C" w:rsidRDefault="00C13A4E" w:rsidP="00C13A4E">
            <w:pPr>
              <w:spacing w:before="60" w:after="40"/>
              <w:jc w:val="left"/>
              <w:rPr>
                <w:rFonts w:ascii="Arial Narrow" w:hAnsi="Arial Narrow" w:cs="Arial"/>
                <w:b/>
                <w:sz w:val="15"/>
                <w:szCs w:val="15"/>
              </w:rPr>
            </w:pPr>
            <w:r w:rsidRPr="00A4252C">
              <w:rPr>
                <w:rFonts w:ascii="Arial Narrow" w:hAnsi="Arial Narrow" w:cs="Arial"/>
                <w:b/>
                <w:sz w:val="15"/>
                <w:szCs w:val="15"/>
              </w:rPr>
              <w:t>Unità di analisi</w:t>
            </w:r>
          </w:p>
        </w:tc>
        <w:tc>
          <w:tcPr>
            <w:tcW w:w="1457" w:type="dxa"/>
            <w:tcBorders>
              <w:left w:val="nil"/>
              <w:right w:val="nil"/>
            </w:tcBorders>
            <w:shd w:val="clear" w:color="auto" w:fill="F2F2F2" w:themeFill="background1" w:themeFillShade="F2"/>
          </w:tcPr>
          <w:p w14:paraId="12DF5D99" w14:textId="6B960864" w:rsidR="00C13A4E" w:rsidRPr="00A4252C" w:rsidRDefault="00C13A4E" w:rsidP="00C13A4E">
            <w:pPr>
              <w:spacing w:before="60" w:after="40"/>
              <w:jc w:val="left"/>
              <w:rPr>
                <w:rFonts w:ascii="Arial Narrow" w:hAnsi="Arial Narrow"/>
                <w:b/>
                <w:sz w:val="15"/>
                <w:szCs w:val="15"/>
              </w:rPr>
            </w:pPr>
            <w:r w:rsidRPr="00A4252C">
              <w:rPr>
                <w:rFonts w:ascii="Arial Narrow" w:hAnsi="Arial Narrow" w:cs="Arial"/>
                <w:sz w:val="15"/>
                <w:szCs w:val="15"/>
              </w:rPr>
              <w:t>R</w:t>
            </w:r>
            <w:r w:rsidRPr="00A4252C">
              <w:rPr>
                <w:rFonts w:ascii="Arial Narrow" w:hAnsi="Arial Narrow"/>
                <w:sz w:val="15"/>
                <w:szCs w:val="15"/>
              </w:rPr>
              <w:t>apporti di lavoro dipendente e parasubordinato</w:t>
            </w:r>
            <w:r w:rsidRPr="00A4252C">
              <w:rPr>
                <w:rFonts w:ascii="Arial Narrow" w:hAnsi="Arial Narrow" w:cs="Arial"/>
                <w:sz w:val="15"/>
                <w:szCs w:val="15"/>
              </w:rPr>
              <w:t xml:space="preserve"> che interessano cittadini italiani e stranieri .</w:t>
            </w:r>
          </w:p>
        </w:tc>
        <w:tc>
          <w:tcPr>
            <w:tcW w:w="1457" w:type="dxa"/>
            <w:tcBorders>
              <w:left w:val="nil"/>
              <w:right w:val="nil"/>
            </w:tcBorders>
            <w:shd w:val="clear" w:color="auto" w:fill="FFFFFF" w:themeFill="background1"/>
          </w:tcPr>
          <w:p w14:paraId="44095E99" w14:textId="4FB8AEF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sz w:val="15"/>
                <w:szCs w:val="15"/>
              </w:rPr>
              <w:t>Datori di lavoro (imprese e istituzioni), lavoratori dipendenti e rapporti di lavoro dipendente.</w:t>
            </w:r>
          </w:p>
        </w:tc>
        <w:tc>
          <w:tcPr>
            <w:tcW w:w="1457" w:type="dxa"/>
            <w:tcBorders>
              <w:left w:val="nil"/>
              <w:right w:val="nil"/>
            </w:tcBorders>
            <w:shd w:val="clear" w:color="auto" w:fill="F2F2F2" w:themeFill="background1" w:themeFillShade="F2"/>
          </w:tcPr>
          <w:p w14:paraId="367EFF7B"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sz w:val="15"/>
                <w:szCs w:val="15"/>
              </w:rPr>
              <w:t>Datori di lavoro (Imprese, Famiglie, Professionisti, ecc.) che utilizzano prestazioni di lavoro accessorio, lavoratori remunerati tramite buoni lavoro.</w:t>
            </w:r>
          </w:p>
        </w:tc>
        <w:tc>
          <w:tcPr>
            <w:tcW w:w="1457" w:type="dxa"/>
            <w:tcBorders>
              <w:left w:val="nil"/>
              <w:right w:val="nil"/>
            </w:tcBorders>
            <w:shd w:val="clear" w:color="auto" w:fill="FFFFFF" w:themeFill="background1"/>
          </w:tcPr>
          <w:p w14:paraId="411BDABD"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 xml:space="preserve">Individui di 15 anni e più residenti in famiglia. </w:t>
            </w:r>
          </w:p>
        </w:tc>
        <w:tc>
          <w:tcPr>
            <w:tcW w:w="1457" w:type="dxa"/>
            <w:tcBorders>
              <w:left w:val="nil"/>
              <w:right w:val="nil"/>
            </w:tcBorders>
            <w:shd w:val="clear" w:color="auto" w:fill="F2F2F2" w:themeFill="background1" w:themeFillShade="F2"/>
          </w:tcPr>
          <w:p w14:paraId="64A36252"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iCs/>
                <w:sz w:val="15"/>
                <w:szCs w:val="15"/>
              </w:rPr>
              <w:t>Unità funzionali delle unità economiche (Imprese e istituzioni private) con dipendenti. Per le grandi imprese vengono utilizzate direttamente le unità funzionali, per i dati amministrativi le unità funzionali sono approssimate dalle imprese e istituzioni private.</w:t>
            </w:r>
          </w:p>
        </w:tc>
        <w:tc>
          <w:tcPr>
            <w:tcW w:w="1457" w:type="dxa"/>
            <w:tcBorders>
              <w:left w:val="nil"/>
              <w:right w:val="nil"/>
            </w:tcBorders>
            <w:shd w:val="clear" w:color="auto" w:fill="FFFFFF" w:themeFill="background1"/>
          </w:tcPr>
          <w:p w14:paraId="6AFFBF93"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 xml:space="preserve">Input di lavoro totale: </w:t>
            </w:r>
            <w:r w:rsidRPr="00A4252C">
              <w:rPr>
                <w:rFonts w:ascii="Arial Narrow" w:hAnsi="Arial Narrow" w:cs="Arial"/>
                <w:color w:val="1D1B11"/>
                <w:sz w:val="15"/>
                <w:szCs w:val="15"/>
              </w:rPr>
              <w:t>occupati interni, posizioni lavorative, ore effettivamente lavorate e unità di lavoro equivalenti a tempo pieno ULA.</w:t>
            </w:r>
          </w:p>
        </w:tc>
      </w:tr>
      <w:tr w:rsidR="00C13A4E" w:rsidRPr="00A4252C" w14:paraId="05E6820D" w14:textId="77777777" w:rsidTr="007A2049">
        <w:trPr>
          <w:cantSplit/>
          <w:trHeight w:val="7486"/>
        </w:trPr>
        <w:tc>
          <w:tcPr>
            <w:tcW w:w="1457" w:type="dxa"/>
            <w:tcBorders>
              <w:left w:val="nil"/>
              <w:right w:val="nil"/>
            </w:tcBorders>
          </w:tcPr>
          <w:p w14:paraId="7AE60E70" w14:textId="77777777" w:rsidR="00C13A4E" w:rsidRPr="00A4252C" w:rsidRDefault="00C13A4E" w:rsidP="00C13A4E">
            <w:pPr>
              <w:pStyle w:val="Paragrafoelenco10"/>
              <w:spacing w:before="60" w:after="40"/>
              <w:ind w:left="46"/>
              <w:contextualSpacing w:val="0"/>
              <w:jc w:val="left"/>
              <w:rPr>
                <w:rFonts w:ascii="Arial Narrow" w:hAnsi="Arial Narrow" w:cs="Arial"/>
                <w:b/>
                <w:sz w:val="15"/>
                <w:szCs w:val="15"/>
              </w:rPr>
            </w:pPr>
            <w:r w:rsidRPr="00A4252C">
              <w:rPr>
                <w:rFonts w:ascii="Arial Narrow" w:hAnsi="Arial Narrow" w:cs="Arial"/>
                <w:b/>
                <w:sz w:val="15"/>
                <w:szCs w:val="15"/>
              </w:rPr>
              <w:t>Definizione di occupazione</w:t>
            </w:r>
          </w:p>
          <w:p w14:paraId="66C4DD17" w14:textId="77777777" w:rsidR="00C13A4E" w:rsidRPr="00A4252C" w:rsidRDefault="00C13A4E" w:rsidP="00C13A4E">
            <w:pPr>
              <w:pStyle w:val="Paragrafoelenco10"/>
              <w:spacing w:before="60" w:after="40"/>
              <w:ind w:left="46"/>
              <w:contextualSpacing w:val="0"/>
              <w:jc w:val="left"/>
              <w:rPr>
                <w:rFonts w:ascii="Arial Narrow" w:hAnsi="Arial Narrow" w:cs="Arial"/>
                <w:sz w:val="15"/>
                <w:szCs w:val="15"/>
              </w:rPr>
            </w:pPr>
          </w:p>
        </w:tc>
        <w:tc>
          <w:tcPr>
            <w:tcW w:w="1457" w:type="dxa"/>
            <w:tcBorders>
              <w:left w:val="nil"/>
              <w:right w:val="nil"/>
            </w:tcBorders>
            <w:shd w:val="clear" w:color="auto" w:fill="F2F2F2" w:themeFill="background1" w:themeFillShade="F2"/>
          </w:tcPr>
          <w:p w14:paraId="2962A5AE"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 xml:space="preserve">Il rapporto di lavoro è definito dalla relazione tra datore di lavoro (identificato dal codice fiscale/PIVA) e il lavoratore (identificato dal codice fiscale). </w:t>
            </w:r>
          </w:p>
          <w:p w14:paraId="487AD462" w14:textId="77777777" w:rsidR="00C13A4E" w:rsidRPr="00A4252C" w:rsidRDefault="00C13A4E" w:rsidP="00C13A4E">
            <w:pPr>
              <w:spacing w:before="60" w:after="40"/>
              <w:jc w:val="left"/>
              <w:rPr>
                <w:rFonts w:ascii="Arial Narrow" w:hAnsi="Arial Narrow" w:cs="Arial"/>
                <w:sz w:val="15"/>
                <w:szCs w:val="15"/>
              </w:rPr>
            </w:pPr>
          </w:p>
          <w:p w14:paraId="2B329B14"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Il rapporto di lavoro è un concetto assimilabile a quello di posizione lavorativa.</w:t>
            </w:r>
          </w:p>
          <w:p w14:paraId="707B5C1B" w14:textId="77777777" w:rsidR="00C13A4E" w:rsidRPr="00A4252C" w:rsidRDefault="00C13A4E" w:rsidP="00C13A4E">
            <w:pPr>
              <w:spacing w:before="60" w:after="40"/>
              <w:jc w:val="left"/>
              <w:rPr>
                <w:rFonts w:ascii="Arial Narrow" w:hAnsi="Arial Narrow" w:cs="Arial"/>
                <w:sz w:val="15"/>
                <w:szCs w:val="15"/>
              </w:rPr>
            </w:pPr>
          </w:p>
        </w:tc>
        <w:tc>
          <w:tcPr>
            <w:tcW w:w="1457" w:type="dxa"/>
            <w:tcBorders>
              <w:left w:val="nil"/>
              <w:right w:val="nil"/>
            </w:tcBorders>
            <w:shd w:val="clear" w:color="auto" w:fill="FFFFFF" w:themeFill="background1"/>
          </w:tcPr>
          <w:p w14:paraId="47897397"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Il rapporto di lavoro è definito dalla relazione tra datore di lavoro (identificato dalla matricola aziendale</w:t>
            </w:r>
            <w:r w:rsidRPr="00A4252C">
              <w:rPr>
                <w:rStyle w:val="Rimandonotaapidipagina"/>
                <w:rFonts w:ascii="Arial Narrow" w:hAnsi="Arial Narrow" w:cs="Arial"/>
                <w:sz w:val="15"/>
                <w:szCs w:val="15"/>
              </w:rPr>
              <w:footnoteReference w:id="24"/>
            </w:r>
            <w:r w:rsidRPr="00A4252C">
              <w:rPr>
                <w:rFonts w:ascii="Arial Narrow" w:hAnsi="Arial Narrow" w:cs="Arial"/>
                <w:sz w:val="15"/>
                <w:szCs w:val="15"/>
              </w:rPr>
              <w:t>) e il lavoratore (identificato dal codice fiscale).</w:t>
            </w:r>
          </w:p>
          <w:p w14:paraId="7F244463" w14:textId="77777777" w:rsidR="00C13A4E" w:rsidRPr="00A4252C" w:rsidRDefault="00C13A4E" w:rsidP="00C13A4E">
            <w:pPr>
              <w:spacing w:before="60" w:after="40"/>
              <w:jc w:val="left"/>
              <w:rPr>
                <w:rFonts w:ascii="Arial Narrow" w:hAnsi="Arial Narrow" w:cs="Arial"/>
                <w:sz w:val="15"/>
                <w:szCs w:val="15"/>
              </w:rPr>
            </w:pPr>
          </w:p>
          <w:p w14:paraId="2D6096AE"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Il rapporto di lavoro è un concetto assimilabile a quello di posizione lavorativa.</w:t>
            </w:r>
          </w:p>
          <w:p w14:paraId="6D816FB1" w14:textId="77777777" w:rsidR="00C13A4E" w:rsidRPr="00A4252C" w:rsidRDefault="00C13A4E" w:rsidP="00C13A4E">
            <w:pPr>
              <w:spacing w:before="60" w:after="40"/>
              <w:jc w:val="left"/>
              <w:rPr>
                <w:rFonts w:ascii="Arial Narrow" w:hAnsi="Arial Narrow" w:cs="Arial"/>
                <w:b/>
                <w:iCs/>
                <w:sz w:val="15"/>
                <w:szCs w:val="15"/>
              </w:rPr>
            </w:pPr>
          </w:p>
        </w:tc>
        <w:tc>
          <w:tcPr>
            <w:tcW w:w="1457" w:type="dxa"/>
            <w:tcBorders>
              <w:left w:val="nil"/>
              <w:right w:val="nil"/>
            </w:tcBorders>
            <w:shd w:val="clear" w:color="auto" w:fill="F2F2F2" w:themeFill="background1" w:themeFillShade="F2"/>
          </w:tcPr>
          <w:p w14:paraId="19A6DB61"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La prestazione di lavoro, (definita dalla relazione tra datore di lavoro identificato dal codice fiscale e il lavoratore identificato dal codice fiscale) è per sua natura accessoria e occasionale.</w:t>
            </w:r>
          </w:p>
        </w:tc>
        <w:tc>
          <w:tcPr>
            <w:tcW w:w="1457" w:type="dxa"/>
            <w:tcBorders>
              <w:left w:val="nil"/>
              <w:right w:val="nil"/>
            </w:tcBorders>
            <w:shd w:val="clear" w:color="auto" w:fill="FFFFFF" w:themeFill="background1"/>
          </w:tcPr>
          <w:p w14:paraId="313AD84E"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 xml:space="preserve">Occupati: persone di 15 anni e più che nella settimana di riferimento presentano almeno una delle seguenti caratteristiche: </w:t>
            </w:r>
          </w:p>
          <w:p w14:paraId="3988E76D" w14:textId="77777777" w:rsidR="00C13A4E" w:rsidRPr="00A4252C" w:rsidRDefault="00C13A4E" w:rsidP="00C13A4E">
            <w:pPr>
              <w:pStyle w:val="Paragrafoelenco10"/>
              <w:numPr>
                <w:ilvl w:val="0"/>
                <w:numId w:val="5"/>
              </w:numPr>
              <w:tabs>
                <w:tab w:val="left" w:pos="224"/>
              </w:tabs>
              <w:spacing w:before="60" w:after="40"/>
              <w:ind w:left="0" w:firstLine="0"/>
              <w:contextualSpacing w:val="0"/>
              <w:jc w:val="left"/>
              <w:rPr>
                <w:rFonts w:ascii="Arial Narrow" w:hAnsi="Arial Narrow" w:cs="Arial"/>
                <w:sz w:val="15"/>
                <w:szCs w:val="15"/>
              </w:rPr>
            </w:pPr>
            <w:r w:rsidRPr="00A4252C">
              <w:rPr>
                <w:rFonts w:ascii="Arial Narrow" w:hAnsi="Arial Narrow" w:cs="Arial"/>
                <w:sz w:val="15"/>
                <w:szCs w:val="15"/>
              </w:rPr>
              <w:t>hanno svolto almeno un’ora di lavoro in una qualsiasi attività (regolare o non regolare) che prevede un corrispettivo monetario o in natura;</w:t>
            </w:r>
          </w:p>
          <w:p w14:paraId="54231830" w14:textId="77777777" w:rsidR="00C13A4E" w:rsidRPr="00A4252C" w:rsidRDefault="00C13A4E" w:rsidP="00C13A4E">
            <w:pPr>
              <w:pStyle w:val="Paragrafoelenco10"/>
              <w:numPr>
                <w:ilvl w:val="0"/>
                <w:numId w:val="5"/>
              </w:numPr>
              <w:tabs>
                <w:tab w:val="left" w:pos="224"/>
              </w:tabs>
              <w:spacing w:before="60" w:after="40"/>
              <w:ind w:left="0" w:firstLine="0"/>
              <w:contextualSpacing w:val="0"/>
              <w:jc w:val="left"/>
              <w:rPr>
                <w:rFonts w:ascii="Arial Narrow" w:hAnsi="Arial Narrow" w:cs="Arial"/>
                <w:sz w:val="15"/>
                <w:szCs w:val="15"/>
              </w:rPr>
            </w:pPr>
            <w:r w:rsidRPr="00A4252C">
              <w:rPr>
                <w:rFonts w:ascii="Arial Narrow" w:hAnsi="Arial Narrow" w:cs="Arial"/>
                <w:sz w:val="15"/>
                <w:szCs w:val="15"/>
              </w:rPr>
              <w:t>dipendenti: sono assenti dal lavoro retribuiti (ad esempio, per ferie, malattia, maternità obbligatoria) o da meno di tre mesi, oppure se assenti da più di tre mesi continuano a percepire almeno il 50% della retribuzione.</w:t>
            </w:r>
          </w:p>
          <w:p w14:paraId="6163D03D" w14:textId="77777777" w:rsidR="00C13A4E" w:rsidRPr="00A4252C" w:rsidRDefault="00C13A4E" w:rsidP="00C13A4E">
            <w:pPr>
              <w:pStyle w:val="Paragrafoelenco10"/>
              <w:numPr>
                <w:ilvl w:val="0"/>
                <w:numId w:val="5"/>
              </w:numPr>
              <w:tabs>
                <w:tab w:val="left" w:pos="224"/>
              </w:tabs>
              <w:spacing w:before="60" w:after="40"/>
              <w:ind w:left="0" w:firstLine="0"/>
              <w:contextualSpacing w:val="0"/>
              <w:jc w:val="left"/>
              <w:rPr>
                <w:rFonts w:ascii="Arial Narrow" w:hAnsi="Arial Narrow" w:cs="Arial"/>
                <w:iCs/>
                <w:sz w:val="15"/>
                <w:szCs w:val="15"/>
              </w:rPr>
            </w:pPr>
            <w:r w:rsidRPr="00A4252C">
              <w:rPr>
                <w:rFonts w:ascii="Arial Narrow" w:hAnsi="Arial Narrow" w:cs="Arial"/>
                <w:sz w:val="15"/>
                <w:szCs w:val="15"/>
              </w:rPr>
              <w:t>indipendenti: sono assenti dal lavoro, ma durante il periodo di assenza continuano a mantenere l’attività.</w:t>
            </w:r>
          </w:p>
        </w:tc>
        <w:tc>
          <w:tcPr>
            <w:tcW w:w="1457" w:type="dxa"/>
            <w:tcBorders>
              <w:left w:val="nil"/>
              <w:right w:val="nil"/>
            </w:tcBorders>
            <w:shd w:val="clear" w:color="auto" w:fill="F2F2F2" w:themeFill="background1" w:themeFillShade="F2"/>
          </w:tcPr>
          <w:p w14:paraId="4D389617" w14:textId="77777777" w:rsidR="00C13A4E" w:rsidRPr="00A4252C" w:rsidRDefault="00C13A4E" w:rsidP="00C13A4E">
            <w:pPr>
              <w:spacing w:before="60" w:after="40"/>
              <w:jc w:val="left"/>
              <w:rPr>
                <w:rFonts w:ascii="Arial Narrow" w:hAnsi="Arial Narrow" w:cs="Arial"/>
                <w:sz w:val="15"/>
                <w:szCs w:val="15"/>
              </w:rPr>
            </w:pPr>
            <w:r w:rsidRPr="00A4252C">
              <w:rPr>
                <w:rFonts w:ascii="Arial Narrow" w:hAnsi="Arial Narrow" w:cs="Arial"/>
                <w:sz w:val="15"/>
                <w:szCs w:val="15"/>
              </w:rPr>
              <w:t xml:space="preserve">Le posizioni lavorative definite come il numero di posti di lavoro occupati da lavoratori dipendenti con un contratto di lavoro (a tempo pieno e a tempo parziale), indipendentemente dalle ore lavorate. </w:t>
            </w:r>
          </w:p>
          <w:p w14:paraId="0EE2D9B5" w14:textId="77777777" w:rsidR="00C13A4E" w:rsidRPr="00A4252C" w:rsidRDefault="00C13A4E" w:rsidP="00C13A4E">
            <w:pPr>
              <w:spacing w:before="60" w:after="40"/>
              <w:jc w:val="left"/>
              <w:rPr>
                <w:rFonts w:ascii="Arial Narrow" w:hAnsi="Arial Narrow" w:cs="Arial"/>
                <w:iCs/>
                <w:sz w:val="15"/>
                <w:szCs w:val="15"/>
              </w:rPr>
            </w:pPr>
            <w:r w:rsidRPr="00A4252C">
              <w:rPr>
                <w:rFonts w:ascii="Arial Narrow" w:hAnsi="Arial Narrow" w:cs="Arial"/>
                <w:sz w:val="15"/>
                <w:szCs w:val="15"/>
              </w:rPr>
              <w:t xml:space="preserve">Sono inclusi anche i lavoratori che, legati all’unità produttiva da regolare contratto di lavoro, sono temporaneamente assenti per cause varie quali: ferie, permessi, maternità, cassa integrazione guadagni, solidarietà, ecc. </w:t>
            </w:r>
          </w:p>
        </w:tc>
        <w:tc>
          <w:tcPr>
            <w:tcW w:w="1457" w:type="dxa"/>
            <w:tcBorders>
              <w:left w:val="nil"/>
              <w:right w:val="nil"/>
            </w:tcBorders>
            <w:shd w:val="clear" w:color="auto" w:fill="FFFFFF" w:themeFill="background1"/>
          </w:tcPr>
          <w:p w14:paraId="2FC6B711" w14:textId="77777777" w:rsidR="00C13A4E" w:rsidRPr="00A4252C" w:rsidRDefault="00C13A4E" w:rsidP="00C13A4E">
            <w:pPr>
              <w:pStyle w:val="Paragrafoelenco10"/>
              <w:tabs>
                <w:tab w:val="left" w:pos="185"/>
              </w:tabs>
              <w:spacing w:before="60" w:after="40"/>
              <w:ind w:left="46"/>
              <w:contextualSpacing w:val="0"/>
              <w:jc w:val="left"/>
              <w:rPr>
                <w:rFonts w:ascii="Arial Narrow" w:hAnsi="Arial Narrow" w:cs="Arial"/>
                <w:sz w:val="15"/>
                <w:szCs w:val="15"/>
              </w:rPr>
            </w:pPr>
            <w:r w:rsidRPr="00A4252C">
              <w:rPr>
                <w:rFonts w:ascii="Arial Narrow" w:hAnsi="Arial Narrow" w:cs="Arial"/>
                <w:sz w:val="15"/>
                <w:szCs w:val="15"/>
              </w:rPr>
              <w:t xml:space="preserve">L’input di lavoro che contribuisce al prodotto interno lordo (PIL) realizzato dal sistema economico nel periodo di riferimento è misurato tramite tre definizioni di occupazione: </w:t>
            </w:r>
          </w:p>
          <w:p w14:paraId="7569D77F" w14:textId="77777777" w:rsidR="00C13A4E" w:rsidRPr="00A4252C" w:rsidRDefault="00C13A4E" w:rsidP="00C13A4E">
            <w:pPr>
              <w:pStyle w:val="Paragrafoelenco10"/>
              <w:numPr>
                <w:ilvl w:val="0"/>
                <w:numId w:val="5"/>
              </w:numPr>
              <w:tabs>
                <w:tab w:val="left" w:pos="176"/>
              </w:tabs>
              <w:spacing w:before="60" w:after="40"/>
              <w:ind w:left="45" w:firstLine="1"/>
              <w:contextualSpacing w:val="0"/>
              <w:jc w:val="left"/>
              <w:rPr>
                <w:rFonts w:ascii="Arial Narrow" w:hAnsi="Arial Narrow" w:cs="Arial"/>
                <w:sz w:val="15"/>
                <w:szCs w:val="15"/>
              </w:rPr>
            </w:pPr>
            <w:r w:rsidRPr="00A4252C">
              <w:rPr>
                <w:rFonts w:ascii="Arial Narrow" w:hAnsi="Arial Narrow" w:cs="Arial"/>
                <w:sz w:val="15"/>
                <w:szCs w:val="15"/>
              </w:rPr>
              <w:t>occupati interni (persone residenti e non residenti occupate nelle unità produttive residenti)</w:t>
            </w:r>
          </w:p>
          <w:p w14:paraId="787D188C" w14:textId="77777777" w:rsidR="00C13A4E" w:rsidRPr="00A4252C" w:rsidRDefault="00C13A4E" w:rsidP="00C13A4E">
            <w:pPr>
              <w:pStyle w:val="Paragrafoelenco10"/>
              <w:numPr>
                <w:ilvl w:val="0"/>
                <w:numId w:val="5"/>
              </w:numPr>
              <w:tabs>
                <w:tab w:val="left" w:pos="185"/>
              </w:tabs>
              <w:spacing w:before="60" w:after="40"/>
              <w:ind w:left="45" w:firstLine="1"/>
              <w:contextualSpacing w:val="0"/>
              <w:jc w:val="left"/>
              <w:rPr>
                <w:rFonts w:ascii="Arial Narrow" w:hAnsi="Arial Narrow" w:cs="Arial"/>
                <w:sz w:val="15"/>
                <w:szCs w:val="15"/>
              </w:rPr>
            </w:pPr>
            <w:r w:rsidRPr="00A4252C">
              <w:rPr>
                <w:rFonts w:ascii="Arial Narrow" w:hAnsi="Arial Narrow" w:cs="Arial"/>
                <w:sz w:val="15"/>
                <w:szCs w:val="15"/>
              </w:rPr>
              <w:t>posizioni lavorative (posti di lavoro ricoperti dagli occupati interni)</w:t>
            </w:r>
          </w:p>
          <w:p w14:paraId="7223A4F9" w14:textId="77777777" w:rsidR="00C13A4E" w:rsidRPr="00A4252C" w:rsidRDefault="00C13A4E" w:rsidP="00C13A4E">
            <w:pPr>
              <w:pStyle w:val="Paragrafoelenco10"/>
              <w:numPr>
                <w:ilvl w:val="0"/>
                <w:numId w:val="5"/>
              </w:numPr>
              <w:tabs>
                <w:tab w:val="left" w:pos="185"/>
              </w:tabs>
              <w:spacing w:before="60" w:after="40"/>
              <w:ind w:left="45" w:firstLine="1"/>
              <w:contextualSpacing w:val="0"/>
              <w:jc w:val="left"/>
              <w:rPr>
                <w:rFonts w:ascii="Arial Narrow" w:hAnsi="Arial Narrow" w:cs="Arial"/>
                <w:sz w:val="15"/>
                <w:szCs w:val="15"/>
              </w:rPr>
            </w:pPr>
            <w:r w:rsidRPr="00A4252C">
              <w:rPr>
                <w:rFonts w:ascii="Arial Narrow" w:hAnsi="Arial Narrow" w:cs="Arial"/>
                <w:sz w:val="15"/>
                <w:szCs w:val="15"/>
              </w:rPr>
              <w:t>unità di lavoro (ULA) (posizioni equivalenti a tempo pieno).</w:t>
            </w:r>
          </w:p>
          <w:p w14:paraId="5C7CD6DF" w14:textId="77777777" w:rsidR="00C13A4E" w:rsidRPr="00A4252C" w:rsidRDefault="00C13A4E" w:rsidP="00C13A4E">
            <w:pPr>
              <w:pStyle w:val="Paragrafoelenco10"/>
              <w:tabs>
                <w:tab w:val="left" w:pos="185"/>
              </w:tabs>
              <w:spacing w:before="60" w:after="40"/>
              <w:ind w:left="45"/>
              <w:contextualSpacing w:val="0"/>
              <w:jc w:val="left"/>
              <w:rPr>
                <w:rFonts w:ascii="Arial Narrow" w:hAnsi="Arial Narrow" w:cs="Arial"/>
                <w:sz w:val="15"/>
                <w:szCs w:val="15"/>
              </w:rPr>
            </w:pPr>
            <w:r w:rsidRPr="00A4252C">
              <w:rPr>
                <w:rFonts w:ascii="Arial Narrow" w:hAnsi="Arial Narrow" w:cs="Arial"/>
                <w:sz w:val="15"/>
                <w:szCs w:val="15"/>
              </w:rPr>
              <w:t>Inoltre si stimano le ore effettivamente lavorate da tutte le posizioni lavorative (monte ore lavorate).</w:t>
            </w:r>
          </w:p>
          <w:p w14:paraId="3C4C10F0" w14:textId="77777777" w:rsidR="00C13A4E" w:rsidRPr="00A4252C" w:rsidRDefault="00C13A4E" w:rsidP="00C13A4E">
            <w:pPr>
              <w:pStyle w:val="Paragrafoelenco10"/>
              <w:tabs>
                <w:tab w:val="left" w:pos="185"/>
              </w:tabs>
              <w:spacing w:before="60" w:after="40"/>
              <w:ind w:left="45"/>
              <w:contextualSpacing w:val="0"/>
              <w:jc w:val="left"/>
              <w:rPr>
                <w:rFonts w:ascii="Arial Narrow" w:hAnsi="Arial Narrow" w:cs="Arial"/>
                <w:sz w:val="15"/>
                <w:szCs w:val="15"/>
              </w:rPr>
            </w:pPr>
          </w:p>
          <w:p w14:paraId="4D329E8E" w14:textId="77777777" w:rsidR="00C13A4E" w:rsidRPr="00A4252C" w:rsidRDefault="00C13A4E" w:rsidP="00C13A4E">
            <w:pPr>
              <w:pStyle w:val="Paragrafoelenco10"/>
              <w:tabs>
                <w:tab w:val="left" w:pos="185"/>
              </w:tabs>
              <w:spacing w:before="60" w:after="40"/>
              <w:ind w:left="46"/>
              <w:contextualSpacing w:val="0"/>
              <w:jc w:val="left"/>
              <w:rPr>
                <w:rFonts w:ascii="Arial Narrow" w:hAnsi="Arial Narrow" w:cs="Arial"/>
                <w:sz w:val="15"/>
                <w:szCs w:val="15"/>
              </w:rPr>
            </w:pPr>
            <w:r w:rsidRPr="00A4252C">
              <w:rPr>
                <w:rFonts w:ascii="Arial Narrow" w:hAnsi="Arial Narrow" w:cs="Arial"/>
                <w:sz w:val="15"/>
                <w:szCs w:val="15"/>
              </w:rPr>
              <w:t xml:space="preserve">Occupati e posizioni lavorative includono i lavoratori temporaneamente assenti per Cig. </w:t>
            </w:r>
          </w:p>
          <w:p w14:paraId="29F97F7C" w14:textId="77777777" w:rsidR="00C13A4E" w:rsidRPr="00A4252C" w:rsidRDefault="00C13A4E" w:rsidP="00C13A4E">
            <w:pPr>
              <w:pStyle w:val="Paragrafoelenco10"/>
              <w:tabs>
                <w:tab w:val="left" w:pos="185"/>
              </w:tabs>
              <w:spacing w:before="60" w:after="40"/>
              <w:ind w:left="46"/>
              <w:contextualSpacing w:val="0"/>
              <w:jc w:val="left"/>
              <w:rPr>
                <w:rFonts w:ascii="Arial Narrow" w:hAnsi="Arial Narrow" w:cs="Arial"/>
                <w:sz w:val="15"/>
                <w:szCs w:val="15"/>
              </w:rPr>
            </w:pPr>
            <w:r w:rsidRPr="00A4252C">
              <w:rPr>
                <w:rFonts w:ascii="Arial Narrow" w:hAnsi="Arial Narrow" w:cs="Arial"/>
                <w:sz w:val="15"/>
                <w:szCs w:val="15"/>
              </w:rPr>
              <w:t>Le ULA sono calcolate al netto della Cig. Le ore effettivamente lavorate includono gli straordinari ed escludono le ore di Cig, ferie, malattia, permessi.</w:t>
            </w:r>
          </w:p>
          <w:p w14:paraId="639C7FFA" w14:textId="77777777" w:rsidR="00C13A4E" w:rsidRPr="00A4252C" w:rsidRDefault="00C13A4E" w:rsidP="00C13A4E">
            <w:pPr>
              <w:pStyle w:val="Paragrafoelenco10"/>
              <w:tabs>
                <w:tab w:val="left" w:pos="185"/>
              </w:tabs>
              <w:spacing w:before="60" w:after="40"/>
              <w:ind w:left="46"/>
              <w:contextualSpacing w:val="0"/>
              <w:jc w:val="left"/>
              <w:rPr>
                <w:rFonts w:ascii="Arial Narrow" w:hAnsi="Arial Narrow" w:cs="Arial"/>
                <w:iCs/>
                <w:sz w:val="15"/>
                <w:szCs w:val="15"/>
              </w:rPr>
            </w:pPr>
          </w:p>
        </w:tc>
      </w:tr>
    </w:tbl>
    <w:p w14:paraId="49F7AE78" w14:textId="77777777" w:rsidR="00C13A4E" w:rsidRPr="00A4252C" w:rsidRDefault="00C13A4E" w:rsidP="00C52037">
      <w:pPr>
        <w:rPr>
          <w:rFonts w:cs="Arial"/>
          <w:b/>
          <w:color w:val="000000"/>
          <w:sz w:val="24"/>
          <w:szCs w:val="26"/>
        </w:rPr>
      </w:pPr>
    </w:p>
    <w:p w14:paraId="7947547E" w14:textId="64B1C48F" w:rsidR="00C13A4E" w:rsidRPr="00A4252C" w:rsidRDefault="00C13A4E">
      <w:pPr>
        <w:spacing w:after="0"/>
        <w:jc w:val="left"/>
        <w:rPr>
          <w:rFonts w:cs="Arial"/>
          <w:b/>
          <w:color w:val="000000"/>
          <w:sz w:val="24"/>
          <w:szCs w:val="26"/>
        </w:rPr>
      </w:pPr>
      <w:r w:rsidRPr="00A4252C">
        <w:rPr>
          <w:rFonts w:cs="Arial"/>
          <w:b/>
          <w:color w:val="000000"/>
          <w:sz w:val="24"/>
          <w:szCs w:val="26"/>
        </w:rPr>
        <w:br w:type="page"/>
      </w:r>
    </w:p>
    <w:p w14:paraId="41AF180D" w14:textId="363CF9BB" w:rsidR="00C13A4E" w:rsidRPr="00A4252C" w:rsidRDefault="00C13A4E" w:rsidP="005B20A7">
      <w:pPr>
        <w:rPr>
          <w:rFonts w:cs="Arial"/>
          <w:b/>
          <w:color w:val="000000"/>
          <w:sz w:val="24"/>
          <w:szCs w:val="26"/>
        </w:rPr>
      </w:pPr>
      <w:r w:rsidRPr="00A4252C">
        <w:rPr>
          <w:rFonts w:ascii="Arial Narrow" w:hAnsi="Arial Narrow" w:cs="Arial"/>
          <w:b/>
          <w:caps/>
          <w:color w:val="17365D"/>
          <w:kern w:val="28"/>
        </w:rPr>
        <w:lastRenderedPageBreak/>
        <w:t>Prospetto</w:t>
      </w:r>
      <w:r w:rsidRPr="00A4252C">
        <w:rPr>
          <w:rFonts w:ascii="Arial Narrow" w:hAnsi="Arial Narrow" w:cs="Arial"/>
          <w:b/>
          <w:color w:val="17365D"/>
          <w:kern w:val="28"/>
        </w:rPr>
        <w:t xml:space="preserve"> 1 (segue). LE CARATTERISTICHE DELLE FONTI ORIGINALI DEI DATI SULL’OCCUPAZIONE</w:t>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C13A4E" w:rsidRPr="00A4252C" w14:paraId="0A32D4CE" w14:textId="77777777" w:rsidTr="007A2049">
        <w:trPr>
          <w:cantSplit/>
          <w:trHeight w:val="835"/>
        </w:trPr>
        <w:tc>
          <w:tcPr>
            <w:tcW w:w="1457" w:type="dxa"/>
            <w:tcBorders>
              <w:left w:val="nil"/>
              <w:right w:val="nil"/>
            </w:tcBorders>
          </w:tcPr>
          <w:p w14:paraId="5F5D2506" w14:textId="77777777" w:rsidR="00C13A4E" w:rsidRPr="00A4252C" w:rsidRDefault="00C13A4E" w:rsidP="00C13A4E">
            <w:pPr>
              <w:spacing w:before="60" w:after="40"/>
              <w:jc w:val="left"/>
              <w:rPr>
                <w:rFonts w:ascii="Arial Narrow" w:hAnsi="Arial Narrow" w:cs="Arial"/>
                <w:b/>
                <w:sz w:val="15"/>
                <w:szCs w:val="15"/>
              </w:rPr>
            </w:pPr>
          </w:p>
        </w:tc>
        <w:tc>
          <w:tcPr>
            <w:tcW w:w="1457" w:type="dxa"/>
            <w:tcBorders>
              <w:left w:val="nil"/>
              <w:right w:val="nil"/>
            </w:tcBorders>
            <w:shd w:val="clear" w:color="auto" w:fill="FFFFFF" w:themeFill="background1"/>
          </w:tcPr>
          <w:p w14:paraId="136236DE" w14:textId="77777777" w:rsidR="00C13A4E" w:rsidRPr="00A4252C" w:rsidRDefault="00C13A4E" w:rsidP="00C13A4E">
            <w:pPr>
              <w:spacing w:before="60" w:after="40"/>
              <w:jc w:val="left"/>
              <w:rPr>
                <w:rFonts w:ascii="Arial Narrow" w:hAnsi="Arial Narrow" w:cs="Arial"/>
                <w:sz w:val="15"/>
                <w:szCs w:val="15"/>
                <w:u w:val="single"/>
              </w:rPr>
            </w:pPr>
            <w:r w:rsidRPr="00A4252C">
              <w:rPr>
                <w:rFonts w:ascii="Arial Narrow" w:hAnsi="Arial Narrow" w:cs="Arial"/>
                <w:b/>
                <w:sz w:val="15"/>
                <w:szCs w:val="15"/>
              </w:rPr>
              <w:t>Comunicazioni obbligatorie (SISCO)</w:t>
            </w:r>
          </w:p>
        </w:tc>
        <w:tc>
          <w:tcPr>
            <w:tcW w:w="1457" w:type="dxa"/>
            <w:tcBorders>
              <w:left w:val="nil"/>
              <w:right w:val="nil"/>
            </w:tcBorders>
            <w:shd w:val="clear" w:color="auto" w:fill="FFFFFF" w:themeFill="background1"/>
          </w:tcPr>
          <w:p w14:paraId="39DF9467" w14:textId="77777777" w:rsidR="00C13A4E" w:rsidRPr="00A4252C" w:rsidRDefault="00C13A4E" w:rsidP="00C13A4E">
            <w:pPr>
              <w:spacing w:before="60" w:after="40"/>
              <w:jc w:val="left"/>
              <w:rPr>
                <w:rFonts w:ascii="Arial Narrow" w:hAnsi="Arial Narrow" w:cs="Arial"/>
                <w:b/>
                <w:sz w:val="15"/>
                <w:szCs w:val="15"/>
              </w:rPr>
            </w:pPr>
            <w:r w:rsidRPr="00A4252C">
              <w:rPr>
                <w:rFonts w:ascii="Arial Narrow" w:hAnsi="Arial Narrow" w:cs="Arial"/>
                <w:b/>
                <w:sz w:val="15"/>
                <w:szCs w:val="15"/>
              </w:rPr>
              <w:t xml:space="preserve">UniEmens </w:t>
            </w:r>
          </w:p>
          <w:p w14:paraId="514CFE45" w14:textId="77777777" w:rsidR="00C13A4E" w:rsidRPr="00A4252C" w:rsidRDefault="00C13A4E" w:rsidP="00C13A4E">
            <w:pPr>
              <w:spacing w:before="60" w:after="40"/>
              <w:jc w:val="left"/>
              <w:rPr>
                <w:rFonts w:ascii="Arial Narrow" w:hAnsi="Arial Narrow" w:cs="Arial"/>
                <w:sz w:val="15"/>
                <w:szCs w:val="15"/>
                <w:u w:val="single"/>
              </w:rPr>
            </w:pPr>
            <w:r w:rsidRPr="00A4252C">
              <w:rPr>
                <w:rFonts w:ascii="Arial Narrow" w:hAnsi="Arial Narrow" w:cs="Arial"/>
                <w:b/>
                <w:sz w:val="15"/>
                <w:szCs w:val="15"/>
              </w:rPr>
              <w:t>(Osservatorio sul Precariato)</w:t>
            </w:r>
          </w:p>
        </w:tc>
        <w:tc>
          <w:tcPr>
            <w:tcW w:w="1457" w:type="dxa"/>
            <w:tcBorders>
              <w:left w:val="nil"/>
              <w:right w:val="nil"/>
            </w:tcBorders>
            <w:shd w:val="clear" w:color="auto" w:fill="FFFFFF" w:themeFill="background1"/>
          </w:tcPr>
          <w:p w14:paraId="11C38884" w14:textId="77777777" w:rsidR="00C13A4E" w:rsidRPr="00A4252C" w:rsidRDefault="00C13A4E" w:rsidP="00C13A4E">
            <w:pPr>
              <w:spacing w:before="60" w:after="40"/>
              <w:jc w:val="left"/>
              <w:rPr>
                <w:rFonts w:ascii="Arial Narrow" w:hAnsi="Arial Narrow" w:cs="Arial"/>
                <w:b/>
                <w:sz w:val="15"/>
                <w:szCs w:val="15"/>
              </w:rPr>
            </w:pPr>
            <w:r w:rsidRPr="00A4252C">
              <w:rPr>
                <w:rFonts w:ascii="Arial Narrow" w:hAnsi="Arial Narrow" w:cs="Arial"/>
                <w:b/>
                <w:sz w:val="15"/>
                <w:szCs w:val="15"/>
              </w:rPr>
              <w:t>Voucher</w:t>
            </w:r>
          </w:p>
          <w:p w14:paraId="1558F590" w14:textId="77777777" w:rsidR="00C13A4E" w:rsidRPr="00A4252C" w:rsidRDefault="00C13A4E" w:rsidP="00C13A4E">
            <w:pPr>
              <w:spacing w:before="60" w:after="40"/>
              <w:jc w:val="left"/>
              <w:rPr>
                <w:rFonts w:ascii="Arial Narrow" w:hAnsi="Arial Narrow" w:cs="Arial"/>
                <w:sz w:val="15"/>
                <w:szCs w:val="15"/>
                <w:u w:val="single"/>
              </w:rPr>
            </w:pPr>
            <w:r w:rsidRPr="00A4252C">
              <w:rPr>
                <w:rFonts w:ascii="Arial Narrow" w:hAnsi="Arial Narrow" w:cs="Arial"/>
                <w:b/>
                <w:sz w:val="15"/>
                <w:szCs w:val="15"/>
              </w:rPr>
              <w:t>(Osservatorio sul lavoro accessorio)</w:t>
            </w:r>
          </w:p>
        </w:tc>
        <w:tc>
          <w:tcPr>
            <w:tcW w:w="1457" w:type="dxa"/>
            <w:tcBorders>
              <w:left w:val="nil"/>
              <w:right w:val="nil"/>
            </w:tcBorders>
            <w:shd w:val="clear" w:color="auto" w:fill="FFFFFF" w:themeFill="background1"/>
            <w:vAlign w:val="center"/>
          </w:tcPr>
          <w:p w14:paraId="10D16557" w14:textId="77777777" w:rsidR="00C13A4E" w:rsidRPr="00A4252C" w:rsidRDefault="00C13A4E" w:rsidP="00C13A4E">
            <w:pPr>
              <w:spacing w:before="60" w:after="40"/>
              <w:jc w:val="left"/>
              <w:rPr>
                <w:rFonts w:ascii="Arial Narrow" w:hAnsi="Arial Narrow" w:cs="Arial"/>
                <w:sz w:val="15"/>
                <w:szCs w:val="15"/>
                <w:u w:val="single"/>
              </w:rPr>
            </w:pPr>
            <w:r w:rsidRPr="00A4252C">
              <w:rPr>
                <w:rFonts w:ascii="Arial Narrow" w:hAnsi="Arial Narrow" w:cs="Arial"/>
                <w:b/>
                <w:sz w:val="15"/>
                <w:szCs w:val="15"/>
              </w:rPr>
              <w:t>Rilevazione sulle forze di lavoro</w:t>
            </w:r>
          </w:p>
        </w:tc>
        <w:tc>
          <w:tcPr>
            <w:tcW w:w="1457" w:type="dxa"/>
            <w:tcBorders>
              <w:left w:val="nil"/>
              <w:right w:val="nil"/>
            </w:tcBorders>
            <w:shd w:val="clear" w:color="auto" w:fill="FFFFFF" w:themeFill="background1"/>
            <w:vAlign w:val="center"/>
          </w:tcPr>
          <w:p w14:paraId="4C296DC8" w14:textId="77777777" w:rsidR="00C13A4E" w:rsidRPr="00A4252C" w:rsidRDefault="00C13A4E" w:rsidP="00C13A4E">
            <w:pPr>
              <w:spacing w:before="60" w:after="40"/>
              <w:jc w:val="left"/>
              <w:rPr>
                <w:rFonts w:ascii="Arial Narrow" w:hAnsi="Arial Narrow" w:cs="Arial"/>
                <w:sz w:val="15"/>
                <w:szCs w:val="15"/>
                <w:u w:val="single"/>
              </w:rPr>
            </w:pPr>
            <w:r w:rsidRPr="00A4252C">
              <w:rPr>
                <w:rFonts w:ascii="Arial Narrow" w:hAnsi="Arial Narrow" w:cs="Arial"/>
                <w:b/>
                <w:sz w:val="15"/>
                <w:szCs w:val="15"/>
              </w:rPr>
              <w:t>Indicatori sulle imprese (Rilevazioni Oros e Grandi imprese)</w:t>
            </w:r>
          </w:p>
        </w:tc>
        <w:tc>
          <w:tcPr>
            <w:tcW w:w="1457" w:type="dxa"/>
            <w:tcBorders>
              <w:left w:val="nil"/>
              <w:right w:val="nil"/>
            </w:tcBorders>
            <w:shd w:val="clear" w:color="auto" w:fill="FFFFFF" w:themeFill="background1"/>
            <w:vAlign w:val="center"/>
          </w:tcPr>
          <w:p w14:paraId="6C656DD1" w14:textId="77777777" w:rsidR="00C13A4E" w:rsidRPr="00A4252C" w:rsidRDefault="00C13A4E" w:rsidP="00C13A4E">
            <w:pPr>
              <w:spacing w:before="60" w:after="40"/>
              <w:jc w:val="left"/>
              <w:rPr>
                <w:rFonts w:ascii="Arial Narrow" w:hAnsi="Arial Narrow" w:cs="Arial"/>
                <w:sz w:val="15"/>
                <w:szCs w:val="15"/>
                <w:u w:val="single"/>
              </w:rPr>
            </w:pPr>
            <w:r w:rsidRPr="00A4252C">
              <w:rPr>
                <w:rFonts w:ascii="Arial Narrow" w:hAnsi="Arial Narrow" w:cs="Arial"/>
                <w:b/>
                <w:sz w:val="15"/>
                <w:szCs w:val="15"/>
              </w:rPr>
              <w:t>Contabilità nazionale</w:t>
            </w:r>
          </w:p>
        </w:tc>
      </w:tr>
      <w:tr w:rsidR="00C13A4E" w:rsidRPr="00A4252C" w14:paraId="398439E3" w14:textId="77777777" w:rsidTr="007A2049">
        <w:trPr>
          <w:cantSplit/>
          <w:trHeight w:val="7923"/>
        </w:trPr>
        <w:tc>
          <w:tcPr>
            <w:tcW w:w="1457" w:type="dxa"/>
            <w:tcBorders>
              <w:left w:val="nil"/>
              <w:right w:val="nil"/>
            </w:tcBorders>
          </w:tcPr>
          <w:p w14:paraId="5B1A8946" w14:textId="77777777" w:rsidR="00C13A4E" w:rsidRPr="00A4252C" w:rsidRDefault="00C13A4E" w:rsidP="00C13A4E">
            <w:pPr>
              <w:spacing w:before="60" w:after="0"/>
              <w:jc w:val="left"/>
              <w:rPr>
                <w:rFonts w:ascii="Arial Narrow" w:hAnsi="Arial Narrow" w:cs="Arial"/>
                <w:b/>
                <w:sz w:val="15"/>
                <w:szCs w:val="15"/>
              </w:rPr>
            </w:pPr>
            <w:r w:rsidRPr="00A4252C">
              <w:rPr>
                <w:rFonts w:ascii="Arial Narrow" w:hAnsi="Arial Narrow" w:cs="Arial"/>
                <w:b/>
                <w:sz w:val="15"/>
                <w:szCs w:val="15"/>
              </w:rPr>
              <w:t>Principali indicatori e loro misura</w:t>
            </w:r>
          </w:p>
          <w:p w14:paraId="2411233D" w14:textId="77777777" w:rsidR="00C13A4E" w:rsidRPr="00A4252C" w:rsidRDefault="00C13A4E" w:rsidP="00C13A4E">
            <w:pPr>
              <w:spacing w:before="60" w:after="0"/>
              <w:jc w:val="left"/>
              <w:rPr>
                <w:rFonts w:ascii="Arial Narrow" w:hAnsi="Arial Narrow" w:cs="Arial"/>
                <w:sz w:val="15"/>
                <w:szCs w:val="15"/>
              </w:rPr>
            </w:pPr>
          </w:p>
        </w:tc>
        <w:tc>
          <w:tcPr>
            <w:tcW w:w="1457" w:type="dxa"/>
            <w:tcBorders>
              <w:left w:val="nil"/>
              <w:right w:val="nil"/>
            </w:tcBorders>
            <w:shd w:val="clear" w:color="auto" w:fill="F2F2F2" w:themeFill="background1" w:themeFillShade="F2"/>
          </w:tcPr>
          <w:p w14:paraId="4081A8B6"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u w:val="single"/>
              </w:rPr>
              <w:t>Indicatori</w:t>
            </w:r>
            <w:r w:rsidRPr="00A4252C">
              <w:rPr>
                <w:rFonts w:ascii="Arial Narrow" w:hAnsi="Arial Narrow" w:cs="Arial"/>
                <w:sz w:val="15"/>
                <w:szCs w:val="15"/>
              </w:rPr>
              <w:t>:</w:t>
            </w:r>
          </w:p>
          <w:p w14:paraId="493227E2"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rPr>
              <w:t>Flussi trimestrali di attivazioni e cessazioni di rapporti di lavoro.</w:t>
            </w:r>
          </w:p>
          <w:p w14:paraId="2430D3CF"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rPr>
              <w:t xml:space="preserve">Lavoratori interessati da almeno un evento di attivazione o cessazione. </w:t>
            </w:r>
          </w:p>
          <w:p w14:paraId="003A635A"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rPr>
              <w:t>Numero medio di eventi di attivazione o cessazione per lavoratore.</w:t>
            </w:r>
          </w:p>
          <w:p w14:paraId="5B021B2E"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p>
          <w:p w14:paraId="7AD9A959"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u w:val="single"/>
              </w:rPr>
              <w:t>Riferimento temporale</w:t>
            </w:r>
            <w:r w:rsidRPr="00A4252C">
              <w:rPr>
                <w:rFonts w:ascii="Arial Narrow" w:hAnsi="Arial Narrow" w:cs="Arial"/>
                <w:sz w:val="15"/>
                <w:szCs w:val="15"/>
              </w:rPr>
              <w:t>:</w:t>
            </w:r>
          </w:p>
          <w:p w14:paraId="0B42AA4E"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rPr>
              <w:t>Il conteggio dei flussi va dal primo all’ultimo giorno del trimestre.</w:t>
            </w:r>
          </w:p>
          <w:p w14:paraId="178C2644"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p>
          <w:p w14:paraId="76A4AD75"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u w:val="single"/>
              </w:rPr>
            </w:pPr>
            <w:r w:rsidRPr="00A4252C">
              <w:rPr>
                <w:rFonts w:ascii="Arial Narrow" w:hAnsi="Arial Narrow" w:cs="Arial"/>
                <w:sz w:val="15"/>
                <w:szCs w:val="15"/>
                <w:u w:val="single"/>
              </w:rPr>
              <w:t>Variazioni considerate rispetto a</w:t>
            </w:r>
          </w:p>
          <w:p w14:paraId="269F4888" w14:textId="77777777" w:rsidR="00C13A4E" w:rsidRPr="00A4252C" w:rsidRDefault="00C13A4E" w:rsidP="00C13A4E">
            <w:pPr>
              <w:shd w:val="clear" w:color="auto" w:fill="F2F2F2" w:themeFill="background1" w:themeFillShade="F2"/>
              <w:spacing w:before="60" w:after="0"/>
              <w:jc w:val="left"/>
              <w:rPr>
                <w:rFonts w:ascii="Arial Narrow" w:hAnsi="Arial Narrow" w:cs="Arial"/>
                <w:sz w:val="15"/>
                <w:szCs w:val="15"/>
              </w:rPr>
            </w:pPr>
            <w:r w:rsidRPr="00A4252C">
              <w:rPr>
                <w:rFonts w:ascii="Arial Narrow" w:hAnsi="Arial Narrow" w:cs="Arial"/>
                <w:sz w:val="15"/>
                <w:szCs w:val="15"/>
              </w:rPr>
              <w:t>allo stesso trimestre dell'anno precedente, senza tener conto degli eventi accaduti nei trimestri intermedi.</w:t>
            </w:r>
          </w:p>
        </w:tc>
        <w:tc>
          <w:tcPr>
            <w:tcW w:w="1457" w:type="dxa"/>
            <w:tcBorders>
              <w:left w:val="nil"/>
              <w:right w:val="nil"/>
            </w:tcBorders>
            <w:shd w:val="clear" w:color="auto" w:fill="FFFFFF" w:themeFill="background1"/>
          </w:tcPr>
          <w:p w14:paraId="47AE59F4"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cs="Arial"/>
                <w:sz w:val="15"/>
                <w:szCs w:val="15"/>
                <w:u w:val="single"/>
              </w:rPr>
              <w:t>Indicatori</w:t>
            </w:r>
            <w:r w:rsidRPr="00A4252C">
              <w:rPr>
                <w:rFonts w:ascii="Arial Narrow" w:hAnsi="Arial Narrow" w:cs="Arial"/>
                <w:sz w:val="15"/>
                <w:szCs w:val="15"/>
              </w:rPr>
              <w:t>:</w:t>
            </w:r>
            <w:r w:rsidRPr="00A4252C">
              <w:rPr>
                <w:rFonts w:ascii="Arial Narrow" w:hAnsi="Arial Narrow"/>
                <w:sz w:val="15"/>
                <w:szCs w:val="15"/>
              </w:rPr>
              <w:t xml:space="preserve"> </w:t>
            </w:r>
          </w:p>
          <w:p w14:paraId="06BDC999"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sz w:val="15"/>
                <w:szCs w:val="15"/>
              </w:rPr>
              <w:t>Flussi mensili di attivazioni e cessazioni di rapporti di lavoro.</w:t>
            </w:r>
          </w:p>
          <w:p w14:paraId="39EBB1E6"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sz w:val="15"/>
                <w:szCs w:val="15"/>
              </w:rPr>
              <w:t>Trasformazioni/Variazioni contrattuali di rapporti di lavoro esistenti (da t.det a t.indet.; da apprendistato a t.indet.).</w:t>
            </w:r>
          </w:p>
          <w:p w14:paraId="22148AB1"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sz w:val="15"/>
                <w:szCs w:val="15"/>
              </w:rPr>
              <w:t>Rapporti di lavoro agevolati</w:t>
            </w:r>
            <w:r w:rsidRPr="00A4252C">
              <w:rPr>
                <w:rStyle w:val="Rimandonotaapidipagina"/>
                <w:rFonts w:ascii="Arial Narrow" w:hAnsi="Arial Narrow"/>
                <w:sz w:val="15"/>
                <w:szCs w:val="15"/>
              </w:rPr>
              <w:footnoteReference w:id="25"/>
            </w:r>
            <w:r w:rsidRPr="00A4252C">
              <w:rPr>
                <w:rFonts w:ascii="Arial Narrow" w:hAnsi="Arial Narrow"/>
                <w:sz w:val="15"/>
                <w:szCs w:val="15"/>
              </w:rPr>
              <w:t xml:space="preserve"> (esonero contributivo).</w:t>
            </w:r>
          </w:p>
          <w:p w14:paraId="09195C61"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sz w:val="15"/>
                <w:szCs w:val="15"/>
              </w:rPr>
              <w:t>Variazione netta (saldo) dei rapporti di lavoro (a t. indet., a t. det., apprend, lav. stag.)</w:t>
            </w:r>
            <w:r w:rsidRPr="00A4252C">
              <w:rPr>
                <w:rStyle w:val="Rimandonotaapidipagina"/>
                <w:rFonts w:ascii="Arial Narrow" w:hAnsi="Arial Narrow"/>
                <w:sz w:val="15"/>
                <w:szCs w:val="15"/>
              </w:rPr>
              <w:footnoteReference w:id="26"/>
            </w:r>
          </w:p>
          <w:p w14:paraId="2CF9B1EF" w14:textId="77777777" w:rsidR="00C13A4E" w:rsidRPr="00A4252C" w:rsidRDefault="00C13A4E" w:rsidP="00C13A4E">
            <w:pPr>
              <w:spacing w:before="60" w:after="0"/>
              <w:jc w:val="left"/>
              <w:rPr>
                <w:rFonts w:ascii="Arial Narrow" w:hAnsi="Arial Narrow"/>
                <w:sz w:val="15"/>
                <w:szCs w:val="15"/>
              </w:rPr>
            </w:pPr>
          </w:p>
          <w:p w14:paraId="022BD640"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Riferimento temporale</w:t>
            </w:r>
            <w:r w:rsidRPr="00A4252C">
              <w:rPr>
                <w:rFonts w:ascii="Arial Narrow" w:hAnsi="Arial Narrow" w:cs="Arial"/>
                <w:sz w:val="15"/>
                <w:szCs w:val="15"/>
              </w:rPr>
              <w:t>:</w:t>
            </w:r>
          </w:p>
          <w:p w14:paraId="66C7001B"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Il conteggio dei flussi va dal primo all’ultimo giorno del mese.</w:t>
            </w:r>
          </w:p>
          <w:p w14:paraId="7B5C081D" w14:textId="77777777" w:rsidR="00C13A4E" w:rsidRPr="00A4252C" w:rsidRDefault="00C13A4E" w:rsidP="00C13A4E">
            <w:pPr>
              <w:spacing w:before="60" w:after="0"/>
              <w:jc w:val="left"/>
              <w:rPr>
                <w:rFonts w:ascii="Arial Narrow" w:hAnsi="Arial Narrow" w:cs="Arial"/>
                <w:sz w:val="15"/>
                <w:szCs w:val="15"/>
              </w:rPr>
            </w:pPr>
          </w:p>
          <w:p w14:paraId="14B03E7E"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u w:val="single"/>
              </w:rPr>
              <w:t>Variazioni considerate rispetto a</w:t>
            </w:r>
          </w:p>
          <w:p w14:paraId="485A2849"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allo stesso periodo dell'anno precedente, considerando tutti i mesi disponibili (dal primo all'ultimo mese dell’anno).</w:t>
            </w:r>
          </w:p>
          <w:p w14:paraId="45C8616B"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rPr>
              <w:t xml:space="preserve"> </w:t>
            </w:r>
          </w:p>
          <w:p w14:paraId="334E2B1A"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Saldo mobile annualizzato (somma mobile degli ultimi 12 mesi), che tiene conto degli eventi accaduti negli altri mesi dell'anno. Assimilabile ad una variazione tendenziale.</w:t>
            </w:r>
          </w:p>
          <w:p w14:paraId="58D84721" w14:textId="77777777" w:rsidR="00C13A4E" w:rsidRPr="00A4252C" w:rsidRDefault="00C13A4E" w:rsidP="00C13A4E">
            <w:pPr>
              <w:spacing w:before="60" w:after="0"/>
              <w:jc w:val="left"/>
              <w:rPr>
                <w:rFonts w:ascii="Arial Narrow" w:hAnsi="Arial Narrow" w:cs="Arial"/>
                <w:b/>
                <w:sz w:val="15"/>
                <w:szCs w:val="15"/>
              </w:rPr>
            </w:pPr>
          </w:p>
        </w:tc>
        <w:tc>
          <w:tcPr>
            <w:tcW w:w="1457" w:type="dxa"/>
            <w:tcBorders>
              <w:left w:val="nil"/>
              <w:right w:val="nil"/>
            </w:tcBorders>
            <w:shd w:val="clear" w:color="auto" w:fill="F2F2F2" w:themeFill="background1" w:themeFillShade="F2"/>
          </w:tcPr>
          <w:p w14:paraId="7C2DB026"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cs="Arial"/>
                <w:sz w:val="15"/>
                <w:szCs w:val="15"/>
                <w:u w:val="single"/>
              </w:rPr>
              <w:t>Indicatori</w:t>
            </w:r>
            <w:r w:rsidRPr="00A4252C">
              <w:rPr>
                <w:rFonts w:ascii="Arial Narrow" w:hAnsi="Arial Narrow" w:cs="Arial"/>
                <w:sz w:val="15"/>
                <w:szCs w:val="15"/>
              </w:rPr>
              <w:t>:</w:t>
            </w:r>
            <w:r w:rsidRPr="00A4252C">
              <w:rPr>
                <w:rFonts w:ascii="Arial Narrow" w:hAnsi="Arial Narrow"/>
                <w:sz w:val="15"/>
                <w:szCs w:val="15"/>
              </w:rPr>
              <w:t xml:space="preserve"> </w:t>
            </w:r>
          </w:p>
          <w:p w14:paraId="7FCBA8F9" w14:textId="77777777" w:rsidR="00C13A4E" w:rsidRPr="00A4252C" w:rsidRDefault="00C13A4E" w:rsidP="00C13A4E">
            <w:pPr>
              <w:spacing w:before="60" w:after="0"/>
              <w:jc w:val="left"/>
              <w:rPr>
                <w:rFonts w:ascii="Arial Narrow" w:hAnsi="Arial Narrow"/>
                <w:sz w:val="15"/>
                <w:szCs w:val="15"/>
              </w:rPr>
            </w:pPr>
            <w:r w:rsidRPr="00A4252C">
              <w:rPr>
                <w:rFonts w:ascii="Arial Narrow" w:hAnsi="Arial Narrow"/>
                <w:sz w:val="15"/>
                <w:szCs w:val="15"/>
              </w:rPr>
              <w:t>Numero di buoni lavoro venduti, numero di prestatori di lavoro accessorio.</w:t>
            </w:r>
          </w:p>
          <w:p w14:paraId="431E4C5F" w14:textId="77777777" w:rsidR="00C13A4E" w:rsidRPr="00A4252C" w:rsidRDefault="00C13A4E" w:rsidP="00C13A4E">
            <w:pPr>
              <w:spacing w:before="60" w:after="0"/>
              <w:jc w:val="left"/>
              <w:rPr>
                <w:rFonts w:ascii="Arial Narrow" w:hAnsi="Arial Narrow"/>
                <w:sz w:val="15"/>
                <w:szCs w:val="15"/>
              </w:rPr>
            </w:pPr>
          </w:p>
          <w:p w14:paraId="7C64B259"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Riferimento temporale</w:t>
            </w:r>
            <w:r w:rsidRPr="00A4252C">
              <w:rPr>
                <w:rFonts w:ascii="Arial Narrow" w:hAnsi="Arial Narrow" w:cs="Arial"/>
                <w:sz w:val="15"/>
                <w:szCs w:val="15"/>
              </w:rPr>
              <w:t>:</w:t>
            </w:r>
          </w:p>
          <w:p w14:paraId="3E1AF85E"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Anno e mese di vendita dei buoni lavoro, anno di svolgimento dell’attività da parte dei prestatori.</w:t>
            </w:r>
          </w:p>
          <w:p w14:paraId="2BB7078A" w14:textId="77777777" w:rsidR="00C13A4E" w:rsidRPr="00A4252C" w:rsidRDefault="00C13A4E" w:rsidP="00C13A4E">
            <w:pPr>
              <w:spacing w:before="60" w:after="0"/>
              <w:jc w:val="left"/>
              <w:rPr>
                <w:rFonts w:ascii="Arial Narrow" w:hAnsi="Arial Narrow"/>
                <w:sz w:val="15"/>
                <w:szCs w:val="15"/>
              </w:rPr>
            </w:pPr>
          </w:p>
          <w:p w14:paraId="27A9075C"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u w:val="single"/>
              </w:rPr>
              <w:t>Variazioni considerate rispetto a</w:t>
            </w:r>
          </w:p>
          <w:p w14:paraId="1A8C202D"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allo stesso periodo dell'anno precedente, considerando tutti i mesi disponibili (dal primo all'ultimo mese dell’anno).</w:t>
            </w:r>
          </w:p>
          <w:p w14:paraId="0CBB2A54" w14:textId="77777777" w:rsidR="00C13A4E" w:rsidRPr="00A4252C" w:rsidRDefault="00C13A4E" w:rsidP="00C13A4E">
            <w:pPr>
              <w:spacing w:before="60" w:after="0"/>
              <w:jc w:val="left"/>
              <w:rPr>
                <w:rFonts w:ascii="Arial Narrow" w:hAnsi="Arial Narrow" w:cs="Arial"/>
                <w:sz w:val="15"/>
                <w:szCs w:val="15"/>
                <w:u w:val="single"/>
              </w:rPr>
            </w:pPr>
          </w:p>
        </w:tc>
        <w:tc>
          <w:tcPr>
            <w:tcW w:w="1457" w:type="dxa"/>
            <w:tcBorders>
              <w:left w:val="nil"/>
              <w:right w:val="nil"/>
            </w:tcBorders>
            <w:shd w:val="clear" w:color="auto" w:fill="FFFFFF" w:themeFill="background1"/>
          </w:tcPr>
          <w:p w14:paraId="0353930A"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Indicatori</w:t>
            </w:r>
            <w:r w:rsidRPr="00A4252C">
              <w:rPr>
                <w:rFonts w:ascii="Arial Narrow" w:hAnsi="Arial Narrow" w:cs="Arial"/>
                <w:sz w:val="15"/>
                <w:szCs w:val="15"/>
              </w:rPr>
              <w:t>:</w:t>
            </w:r>
          </w:p>
          <w:p w14:paraId="383C94CA"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Consistenza (stock) degli occupati (dipendenti e indipendenti</w:t>
            </w:r>
            <w:r w:rsidRPr="00A4252C">
              <w:rPr>
                <w:rFonts w:ascii="Arial Narrow" w:hAnsi="Arial Narrow" w:cs="Arial"/>
                <w:strike/>
                <w:sz w:val="15"/>
                <w:szCs w:val="15"/>
              </w:rPr>
              <w:t>)</w:t>
            </w:r>
            <w:r w:rsidRPr="00A4252C">
              <w:rPr>
                <w:rFonts w:ascii="Arial Narrow" w:hAnsi="Arial Narrow" w:cs="Arial"/>
                <w:sz w:val="15"/>
                <w:szCs w:val="15"/>
              </w:rPr>
              <w:t xml:space="preserve">, dei disoccupati, degli inattivi e dei relativi tassi. </w:t>
            </w:r>
          </w:p>
          <w:p w14:paraId="0724DF08" w14:textId="77777777" w:rsidR="00C13A4E" w:rsidRPr="00A4252C" w:rsidRDefault="00C13A4E" w:rsidP="00C13A4E">
            <w:pPr>
              <w:spacing w:before="60" w:after="0"/>
              <w:jc w:val="left"/>
              <w:rPr>
                <w:rFonts w:ascii="Arial Narrow" w:hAnsi="Arial Narrow" w:cs="Arial"/>
                <w:sz w:val="15"/>
                <w:szCs w:val="15"/>
              </w:rPr>
            </w:pPr>
          </w:p>
          <w:p w14:paraId="2C8CF1A0"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Riferimento temporale</w:t>
            </w:r>
            <w:r w:rsidRPr="00A4252C">
              <w:rPr>
                <w:rFonts w:ascii="Arial Narrow" w:hAnsi="Arial Narrow" w:cs="Arial"/>
                <w:sz w:val="15"/>
                <w:szCs w:val="15"/>
              </w:rPr>
              <w:t>:</w:t>
            </w:r>
          </w:p>
          <w:p w14:paraId="361E580C"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 xml:space="preserve">Settimana cui si riferiscono le informazioni raccolte (in genere quella che precede l’intervista). Nell’arco dell’anno, le informazioni vengono rilevate attraverso la distribuzione uniforme del campione familiare in tutte le settimane. </w:t>
            </w:r>
          </w:p>
          <w:p w14:paraId="4524A4CB" w14:textId="77777777" w:rsidR="00C13A4E" w:rsidRPr="00A4252C" w:rsidRDefault="00C13A4E" w:rsidP="00C13A4E">
            <w:pPr>
              <w:spacing w:before="60" w:after="0"/>
              <w:jc w:val="left"/>
              <w:rPr>
                <w:rFonts w:ascii="Arial Narrow" w:hAnsi="Arial Narrow" w:cs="Arial"/>
                <w:sz w:val="15"/>
                <w:szCs w:val="15"/>
              </w:rPr>
            </w:pPr>
          </w:p>
          <w:p w14:paraId="29D2D0D2"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Stima</w:t>
            </w:r>
            <w:r w:rsidRPr="00A4252C">
              <w:rPr>
                <w:rFonts w:ascii="Arial Narrow" w:hAnsi="Arial Narrow" w:cs="Arial"/>
                <w:sz w:val="15"/>
                <w:szCs w:val="15"/>
              </w:rPr>
              <w:t>:</w:t>
            </w:r>
          </w:p>
          <w:p w14:paraId="17A1D04C"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Media trimestrale degli stock settimanali.</w:t>
            </w:r>
          </w:p>
          <w:p w14:paraId="35C0BC71" w14:textId="77777777" w:rsidR="00C13A4E" w:rsidRPr="00A4252C" w:rsidRDefault="00C13A4E" w:rsidP="00C13A4E">
            <w:pPr>
              <w:spacing w:before="60" w:after="0"/>
              <w:jc w:val="left"/>
              <w:rPr>
                <w:rFonts w:ascii="Arial Narrow" w:hAnsi="Arial Narrow" w:cs="Arial"/>
                <w:sz w:val="15"/>
                <w:szCs w:val="15"/>
              </w:rPr>
            </w:pPr>
          </w:p>
          <w:p w14:paraId="3E0A03CE"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u w:val="single"/>
              </w:rPr>
              <w:t>Variazioni considerate rispetto a</w:t>
            </w:r>
          </w:p>
          <w:p w14:paraId="2140DDFD"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 xml:space="preserve">al trimestre precedente (congiunturali destagionalizzate). </w:t>
            </w:r>
          </w:p>
          <w:p w14:paraId="5090F8D1" w14:textId="77777777" w:rsidR="00C13A4E" w:rsidRPr="00A4252C" w:rsidRDefault="00C13A4E" w:rsidP="00C13A4E">
            <w:pPr>
              <w:spacing w:before="60" w:after="0"/>
              <w:jc w:val="left"/>
              <w:rPr>
                <w:rFonts w:ascii="Arial Narrow" w:hAnsi="Arial Narrow" w:cs="Arial"/>
                <w:sz w:val="15"/>
                <w:szCs w:val="15"/>
              </w:rPr>
            </w:pPr>
          </w:p>
          <w:p w14:paraId="64A655D2"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rPr>
              <w:t>Allo stesso trimestre dell’anno precedente (tendenziali grezze), tenendo conto di quanto accaduto in tutti i trimestri del periodo considerato.</w:t>
            </w:r>
          </w:p>
        </w:tc>
        <w:tc>
          <w:tcPr>
            <w:tcW w:w="1457" w:type="dxa"/>
            <w:tcBorders>
              <w:left w:val="nil"/>
              <w:right w:val="nil"/>
            </w:tcBorders>
            <w:shd w:val="clear" w:color="auto" w:fill="F2F2F2" w:themeFill="background1" w:themeFillShade="F2"/>
          </w:tcPr>
          <w:p w14:paraId="5C3748B5"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Indicatori</w:t>
            </w:r>
            <w:r w:rsidRPr="00A4252C">
              <w:rPr>
                <w:rFonts w:ascii="Arial Narrow" w:hAnsi="Arial Narrow" w:cs="Arial"/>
                <w:sz w:val="15"/>
                <w:szCs w:val="15"/>
              </w:rPr>
              <w:t>:</w:t>
            </w:r>
          </w:p>
          <w:p w14:paraId="4FED256A"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Consistenza (stock) delle posizioni lavorative dipendenti</w:t>
            </w:r>
          </w:p>
          <w:p w14:paraId="57C12F4B" w14:textId="0DB4EA8D"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Vengono rilasciati solo indici in base 201</w:t>
            </w:r>
            <w:r w:rsidR="003F08DE" w:rsidRPr="00A4252C">
              <w:rPr>
                <w:rFonts w:ascii="Arial Narrow" w:hAnsi="Arial Narrow" w:cs="Arial"/>
                <w:sz w:val="15"/>
                <w:szCs w:val="15"/>
              </w:rPr>
              <w:t>5</w:t>
            </w:r>
            <w:r w:rsidRPr="00A4252C">
              <w:rPr>
                <w:rFonts w:ascii="Arial Narrow" w:hAnsi="Arial Narrow" w:cs="Arial"/>
                <w:sz w:val="15"/>
                <w:szCs w:val="15"/>
              </w:rPr>
              <w:t>=100.</w:t>
            </w:r>
          </w:p>
          <w:p w14:paraId="29403DA5" w14:textId="77777777" w:rsidR="00C13A4E" w:rsidRPr="00A4252C" w:rsidRDefault="00C13A4E" w:rsidP="00C13A4E">
            <w:pPr>
              <w:spacing w:before="60" w:after="0"/>
              <w:jc w:val="left"/>
              <w:rPr>
                <w:rFonts w:ascii="Arial Narrow" w:hAnsi="Arial Narrow" w:cs="Arial"/>
                <w:sz w:val="15"/>
                <w:szCs w:val="15"/>
                <w:u w:val="single"/>
              </w:rPr>
            </w:pPr>
          </w:p>
          <w:p w14:paraId="20899DEA"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Riferimento temporale</w:t>
            </w:r>
            <w:r w:rsidRPr="00A4252C">
              <w:rPr>
                <w:rFonts w:ascii="Arial Narrow" w:hAnsi="Arial Narrow" w:cs="Arial"/>
                <w:sz w:val="15"/>
                <w:szCs w:val="15"/>
              </w:rPr>
              <w:t>:</w:t>
            </w:r>
          </w:p>
          <w:p w14:paraId="5A7BCB9C"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Le posizioni lavorative vengono rilevate ogni mese</w:t>
            </w:r>
            <w:r w:rsidRPr="00A4252C">
              <w:rPr>
                <w:rFonts w:ascii="Arial Narrow" w:hAnsi="Arial Narrow" w:cs="Arial"/>
                <w:color w:val="FF0000"/>
                <w:sz w:val="15"/>
                <w:szCs w:val="15"/>
              </w:rPr>
              <w:t xml:space="preserve">. </w:t>
            </w:r>
            <w:r w:rsidRPr="00A4252C">
              <w:rPr>
                <w:rFonts w:ascii="Arial Narrow" w:hAnsi="Arial Narrow" w:cs="Arial"/>
                <w:sz w:val="15"/>
                <w:szCs w:val="15"/>
              </w:rPr>
              <w:t>Nei dati di fonte amministrativa vengono conteggiate tutte le posizioni lavorative dipendenti con un contratto di lavoro anche di un solo giorno nel mese; nei dati d’Indagine lo stock mensile si ottiene come media fra lo stock di dipendenti a inizio e a fine mese.</w:t>
            </w:r>
          </w:p>
          <w:p w14:paraId="5A3F02F3"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Stima</w:t>
            </w:r>
            <w:r w:rsidRPr="00A4252C">
              <w:rPr>
                <w:rFonts w:ascii="Arial Narrow" w:hAnsi="Arial Narrow" w:cs="Arial"/>
                <w:sz w:val="15"/>
                <w:szCs w:val="15"/>
              </w:rPr>
              <w:t>:</w:t>
            </w:r>
          </w:p>
          <w:p w14:paraId="3E6117F8"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Media trimestrale degli stock mensili.</w:t>
            </w:r>
          </w:p>
          <w:p w14:paraId="2DE149F4" w14:textId="77777777" w:rsidR="00C13A4E" w:rsidRPr="00A4252C" w:rsidRDefault="00C13A4E" w:rsidP="00C13A4E">
            <w:pPr>
              <w:spacing w:before="60" w:after="0"/>
              <w:jc w:val="left"/>
              <w:rPr>
                <w:rFonts w:ascii="Arial Narrow" w:hAnsi="Arial Narrow" w:cs="Arial"/>
                <w:sz w:val="15"/>
                <w:szCs w:val="15"/>
              </w:rPr>
            </w:pPr>
          </w:p>
          <w:p w14:paraId="36DEECB5"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u w:val="single"/>
              </w:rPr>
              <w:t>Variazioni considerate rispetto a</w:t>
            </w:r>
          </w:p>
          <w:p w14:paraId="212BB825"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 xml:space="preserve">al trimestre precedente (congiunturali destagionalizzate). </w:t>
            </w:r>
          </w:p>
          <w:p w14:paraId="2544157F" w14:textId="77777777" w:rsidR="00C13A4E" w:rsidRPr="00A4252C" w:rsidRDefault="00C13A4E" w:rsidP="00C13A4E">
            <w:pPr>
              <w:spacing w:before="60" w:after="0"/>
              <w:jc w:val="left"/>
              <w:rPr>
                <w:rFonts w:ascii="Arial Narrow" w:hAnsi="Arial Narrow" w:cs="Arial"/>
                <w:sz w:val="15"/>
                <w:szCs w:val="15"/>
              </w:rPr>
            </w:pPr>
          </w:p>
          <w:p w14:paraId="3FF96980"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Allo stesso trimestre dell’anno precedente (tendenziali grezze), tenendo conto di quanto accaduto in tutti i trimestri del periodo considerato.</w:t>
            </w:r>
          </w:p>
          <w:p w14:paraId="5E512E76" w14:textId="77777777" w:rsidR="00C13A4E" w:rsidRPr="00A4252C" w:rsidRDefault="00C13A4E" w:rsidP="00C13A4E">
            <w:pPr>
              <w:spacing w:before="60" w:after="0"/>
              <w:jc w:val="left"/>
              <w:rPr>
                <w:rFonts w:ascii="Arial Narrow" w:hAnsi="Arial Narrow" w:cs="Arial"/>
                <w:sz w:val="15"/>
                <w:szCs w:val="15"/>
              </w:rPr>
            </w:pPr>
          </w:p>
        </w:tc>
        <w:tc>
          <w:tcPr>
            <w:tcW w:w="1457" w:type="dxa"/>
            <w:tcBorders>
              <w:left w:val="nil"/>
              <w:right w:val="nil"/>
            </w:tcBorders>
            <w:shd w:val="clear" w:color="auto" w:fill="FFFFFF" w:themeFill="background1"/>
          </w:tcPr>
          <w:p w14:paraId="6B705256"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Indicatori</w:t>
            </w:r>
            <w:r w:rsidRPr="00A4252C">
              <w:rPr>
                <w:rFonts w:ascii="Arial Narrow" w:hAnsi="Arial Narrow" w:cs="Arial"/>
                <w:sz w:val="15"/>
                <w:szCs w:val="15"/>
              </w:rPr>
              <w:t>:</w:t>
            </w:r>
          </w:p>
          <w:p w14:paraId="4F13958B"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 xml:space="preserve">Consistenza (stock) degli occupati interni, delle posizioni lavorative, delle unità di lavoro equivalenti a tempo pieno (ULA), del monte ore lavorate. </w:t>
            </w:r>
          </w:p>
          <w:p w14:paraId="3D5CC957" w14:textId="77777777" w:rsidR="00C13A4E" w:rsidRPr="00A4252C" w:rsidRDefault="00C13A4E" w:rsidP="00C13A4E">
            <w:pPr>
              <w:spacing w:before="60" w:after="0"/>
              <w:jc w:val="left"/>
              <w:rPr>
                <w:rFonts w:ascii="Arial Narrow" w:hAnsi="Arial Narrow" w:cs="Arial"/>
                <w:sz w:val="15"/>
                <w:szCs w:val="15"/>
                <w:u w:val="single"/>
              </w:rPr>
            </w:pPr>
          </w:p>
          <w:p w14:paraId="2BA4F243"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u w:val="single"/>
              </w:rPr>
              <w:t>Riferimento temporale</w:t>
            </w:r>
            <w:r w:rsidRPr="00A4252C">
              <w:rPr>
                <w:rFonts w:ascii="Arial Narrow" w:hAnsi="Arial Narrow" w:cs="Arial"/>
                <w:sz w:val="15"/>
                <w:szCs w:val="15"/>
              </w:rPr>
              <w:t>:</w:t>
            </w:r>
          </w:p>
          <w:p w14:paraId="71EEBE24"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Occupazione media del periodo (trimestre e anno).</w:t>
            </w:r>
          </w:p>
          <w:p w14:paraId="6F01680E" w14:textId="77777777" w:rsidR="00C13A4E" w:rsidRPr="00A4252C" w:rsidRDefault="00C13A4E" w:rsidP="00C13A4E">
            <w:pPr>
              <w:spacing w:before="60" w:after="0"/>
              <w:jc w:val="left"/>
              <w:rPr>
                <w:rFonts w:ascii="Arial Narrow" w:hAnsi="Arial Narrow" w:cs="Arial"/>
                <w:sz w:val="15"/>
                <w:szCs w:val="15"/>
              </w:rPr>
            </w:pPr>
          </w:p>
          <w:p w14:paraId="2401E064" w14:textId="77777777" w:rsidR="00C13A4E" w:rsidRPr="00A4252C" w:rsidRDefault="00C13A4E" w:rsidP="00C13A4E">
            <w:pPr>
              <w:spacing w:before="60" w:after="0"/>
              <w:jc w:val="left"/>
              <w:rPr>
                <w:rFonts w:ascii="Arial Narrow" w:hAnsi="Arial Narrow" w:cs="Arial"/>
                <w:sz w:val="15"/>
                <w:szCs w:val="15"/>
                <w:u w:val="single"/>
              </w:rPr>
            </w:pPr>
            <w:r w:rsidRPr="00A4252C">
              <w:rPr>
                <w:rFonts w:ascii="Arial Narrow" w:hAnsi="Arial Narrow" w:cs="Arial"/>
                <w:sz w:val="15"/>
                <w:szCs w:val="15"/>
                <w:u w:val="single"/>
              </w:rPr>
              <w:t>Variazioni considerate rispetto a</w:t>
            </w:r>
          </w:p>
          <w:p w14:paraId="770A272E" w14:textId="77777777" w:rsidR="00C13A4E" w:rsidRPr="00A4252C" w:rsidRDefault="00C13A4E" w:rsidP="00C13A4E">
            <w:pPr>
              <w:spacing w:before="60" w:after="0"/>
              <w:jc w:val="left"/>
              <w:rPr>
                <w:rFonts w:ascii="Arial Narrow" w:hAnsi="Arial Narrow" w:cs="Arial"/>
                <w:sz w:val="15"/>
                <w:szCs w:val="15"/>
              </w:rPr>
            </w:pPr>
            <w:r w:rsidRPr="00A4252C">
              <w:rPr>
                <w:rFonts w:ascii="Arial Narrow" w:hAnsi="Arial Narrow" w:cs="Arial"/>
                <w:sz w:val="15"/>
                <w:szCs w:val="15"/>
              </w:rPr>
              <w:t xml:space="preserve">al trimestre precedente (congiunturali destagionalizzate). </w:t>
            </w:r>
          </w:p>
          <w:p w14:paraId="5B8DFB28" w14:textId="77777777" w:rsidR="00C13A4E" w:rsidRPr="00A4252C" w:rsidRDefault="00C13A4E" w:rsidP="00C13A4E">
            <w:pPr>
              <w:spacing w:before="60" w:after="0"/>
              <w:jc w:val="left"/>
              <w:rPr>
                <w:rFonts w:ascii="Arial Narrow" w:hAnsi="Arial Narrow" w:cs="Arial"/>
                <w:sz w:val="15"/>
                <w:szCs w:val="15"/>
              </w:rPr>
            </w:pPr>
          </w:p>
          <w:p w14:paraId="70E91980" w14:textId="77777777" w:rsidR="00C13A4E" w:rsidRPr="00A4252C" w:rsidRDefault="00C13A4E" w:rsidP="00C13A4E">
            <w:pPr>
              <w:spacing w:before="60" w:after="0"/>
              <w:jc w:val="left"/>
              <w:rPr>
                <w:rFonts w:ascii="Arial Narrow" w:hAnsi="Arial Narrow" w:cs="Arial"/>
                <w:strike/>
                <w:sz w:val="15"/>
                <w:szCs w:val="15"/>
              </w:rPr>
            </w:pPr>
            <w:r w:rsidRPr="00A4252C">
              <w:rPr>
                <w:rFonts w:ascii="Arial Narrow" w:hAnsi="Arial Narrow" w:cs="Arial"/>
                <w:sz w:val="15"/>
                <w:szCs w:val="15"/>
              </w:rPr>
              <w:t>Allo stesso trimestre dell’anno precedente (tendenziali grezze), tenendo conto di quanto accaduto in tutti i trimestri del periodo considerato.</w:t>
            </w:r>
          </w:p>
        </w:tc>
      </w:tr>
    </w:tbl>
    <w:p w14:paraId="753A8BD4" w14:textId="77777777" w:rsidR="00C13A4E" w:rsidRPr="00A4252C" w:rsidRDefault="00C13A4E" w:rsidP="005B20A7">
      <w:pPr>
        <w:rPr>
          <w:rFonts w:cs="Arial"/>
          <w:b/>
          <w:color w:val="000000"/>
          <w:sz w:val="24"/>
          <w:szCs w:val="26"/>
        </w:rPr>
      </w:pPr>
    </w:p>
    <w:p w14:paraId="043007FD" w14:textId="77777777" w:rsidR="00C13A4E" w:rsidRPr="00A4252C" w:rsidRDefault="00C13A4E">
      <w:pPr>
        <w:spacing w:after="0"/>
        <w:jc w:val="left"/>
        <w:rPr>
          <w:rFonts w:cs="Arial"/>
          <w:b/>
          <w:color w:val="000000"/>
          <w:sz w:val="24"/>
          <w:szCs w:val="26"/>
        </w:rPr>
      </w:pPr>
      <w:r w:rsidRPr="00A4252C">
        <w:rPr>
          <w:rFonts w:cs="Arial"/>
          <w:b/>
          <w:color w:val="000000"/>
          <w:sz w:val="24"/>
          <w:szCs w:val="26"/>
        </w:rPr>
        <w:br w:type="page"/>
      </w:r>
    </w:p>
    <w:p w14:paraId="591AAA35" w14:textId="68BE3986" w:rsidR="005B20A7" w:rsidRPr="00A4252C" w:rsidRDefault="00C13A4E" w:rsidP="005B20A7">
      <w:pPr>
        <w:rPr>
          <w:rFonts w:cs="Arial"/>
          <w:b/>
          <w:color w:val="000000"/>
          <w:sz w:val="24"/>
          <w:szCs w:val="26"/>
        </w:rPr>
      </w:pPr>
      <w:r w:rsidRPr="00A4252C">
        <w:rPr>
          <w:rFonts w:ascii="Arial Narrow" w:hAnsi="Arial Narrow" w:cs="Arial"/>
          <w:b/>
          <w:caps/>
          <w:color w:val="17365D"/>
          <w:kern w:val="28"/>
        </w:rPr>
        <w:lastRenderedPageBreak/>
        <w:t>Prospetto</w:t>
      </w:r>
      <w:r w:rsidRPr="00A4252C">
        <w:rPr>
          <w:rFonts w:ascii="Arial Narrow" w:hAnsi="Arial Narrow" w:cs="Arial"/>
          <w:b/>
          <w:color w:val="17365D"/>
          <w:kern w:val="28"/>
        </w:rPr>
        <w:t xml:space="preserve"> 1 (segue). LE CARATTERISTICHE DELLE FONTI ORIGINALI DEI DATI SULL’OCCUPAZIONE</w:t>
      </w:r>
    </w:p>
    <w:tbl>
      <w:tblPr>
        <w:tblW w:w="9645" w:type="dxa"/>
        <w:tblInd w:w="-3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377"/>
        <w:gridCol w:w="1378"/>
        <w:gridCol w:w="1378"/>
        <w:gridCol w:w="1378"/>
        <w:gridCol w:w="1378"/>
        <w:gridCol w:w="1378"/>
        <w:gridCol w:w="1378"/>
      </w:tblGrid>
      <w:tr w:rsidR="00133A63" w:rsidRPr="00A4252C" w14:paraId="703F5FF6" w14:textId="77777777" w:rsidTr="007A2049">
        <w:trPr>
          <w:cantSplit/>
        </w:trPr>
        <w:tc>
          <w:tcPr>
            <w:tcW w:w="1457" w:type="dxa"/>
            <w:tcBorders>
              <w:left w:val="nil"/>
              <w:right w:val="nil"/>
            </w:tcBorders>
          </w:tcPr>
          <w:p w14:paraId="5A7721DC" w14:textId="77777777" w:rsidR="00133A63" w:rsidRPr="00A4252C" w:rsidRDefault="00133A63" w:rsidP="00D34956">
            <w:pPr>
              <w:spacing w:before="40" w:after="40"/>
              <w:jc w:val="left"/>
              <w:rPr>
                <w:rFonts w:ascii="Arial Narrow" w:hAnsi="Arial Narrow" w:cs="Arial"/>
                <w:b/>
                <w:sz w:val="15"/>
                <w:szCs w:val="15"/>
              </w:rPr>
            </w:pPr>
          </w:p>
        </w:tc>
        <w:tc>
          <w:tcPr>
            <w:tcW w:w="1457" w:type="dxa"/>
            <w:tcBorders>
              <w:left w:val="nil"/>
              <w:right w:val="nil"/>
            </w:tcBorders>
            <w:shd w:val="clear" w:color="auto" w:fill="FFFFFF" w:themeFill="background1"/>
          </w:tcPr>
          <w:p w14:paraId="275AE6E4" w14:textId="77777777" w:rsidR="00133A63" w:rsidRPr="00A4252C" w:rsidRDefault="00133A63" w:rsidP="00D34956">
            <w:pPr>
              <w:pStyle w:val="Paragrafoelenco1"/>
              <w:tabs>
                <w:tab w:val="left" w:pos="176"/>
              </w:tabs>
              <w:spacing w:before="40" w:after="40"/>
              <w:ind w:left="34"/>
              <w:jc w:val="left"/>
              <w:rPr>
                <w:rFonts w:ascii="Arial Narrow" w:hAnsi="Arial Narrow" w:cs="Arial"/>
                <w:sz w:val="15"/>
                <w:szCs w:val="15"/>
              </w:rPr>
            </w:pPr>
            <w:r w:rsidRPr="00A4252C">
              <w:rPr>
                <w:rFonts w:ascii="Arial Narrow" w:hAnsi="Arial Narrow" w:cs="Arial"/>
                <w:b/>
                <w:sz w:val="15"/>
                <w:szCs w:val="15"/>
              </w:rPr>
              <w:t>Comunicazioni obbligatorie (SISCO)</w:t>
            </w:r>
          </w:p>
        </w:tc>
        <w:tc>
          <w:tcPr>
            <w:tcW w:w="1457" w:type="dxa"/>
            <w:tcBorders>
              <w:left w:val="nil"/>
              <w:right w:val="nil"/>
            </w:tcBorders>
            <w:shd w:val="clear" w:color="auto" w:fill="FFFFFF" w:themeFill="background1"/>
          </w:tcPr>
          <w:p w14:paraId="655876DE" w14:textId="77777777" w:rsidR="00133A63" w:rsidRPr="00A4252C" w:rsidRDefault="00133A63" w:rsidP="00D34956">
            <w:pPr>
              <w:spacing w:before="40" w:after="40"/>
              <w:jc w:val="left"/>
              <w:rPr>
                <w:rFonts w:ascii="Arial Narrow" w:hAnsi="Arial Narrow" w:cs="Arial"/>
                <w:b/>
                <w:sz w:val="15"/>
                <w:szCs w:val="15"/>
              </w:rPr>
            </w:pPr>
            <w:r w:rsidRPr="00A4252C">
              <w:rPr>
                <w:rFonts w:ascii="Arial Narrow" w:hAnsi="Arial Narrow" w:cs="Arial"/>
                <w:b/>
                <w:sz w:val="15"/>
                <w:szCs w:val="15"/>
              </w:rPr>
              <w:t xml:space="preserve">UniEmens </w:t>
            </w:r>
          </w:p>
          <w:p w14:paraId="0DD50BC7" w14:textId="77777777" w:rsidR="00133A63" w:rsidRPr="00A4252C" w:rsidRDefault="00133A63" w:rsidP="00D34956">
            <w:pPr>
              <w:pStyle w:val="Paragrafoelenco10"/>
              <w:tabs>
                <w:tab w:val="left" w:pos="224"/>
              </w:tabs>
              <w:spacing w:before="40" w:after="40"/>
              <w:ind w:left="0"/>
              <w:jc w:val="left"/>
              <w:rPr>
                <w:rFonts w:ascii="Arial Narrow" w:hAnsi="Arial Narrow" w:cs="Arial"/>
                <w:sz w:val="15"/>
                <w:szCs w:val="15"/>
              </w:rPr>
            </w:pPr>
            <w:r w:rsidRPr="00A4252C">
              <w:rPr>
                <w:rFonts w:ascii="Arial Narrow" w:hAnsi="Arial Narrow" w:cs="Arial"/>
                <w:b/>
                <w:sz w:val="15"/>
                <w:szCs w:val="15"/>
              </w:rPr>
              <w:t>(Osservatorio sul Precariato)</w:t>
            </w:r>
          </w:p>
        </w:tc>
        <w:tc>
          <w:tcPr>
            <w:tcW w:w="1457" w:type="dxa"/>
            <w:tcBorders>
              <w:left w:val="nil"/>
              <w:right w:val="nil"/>
            </w:tcBorders>
            <w:shd w:val="clear" w:color="auto" w:fill="FFFFFF" w:themeFill="background1"/>
          </w:tcPr>
          <w:p w14:paraId="41317EB3" w14:textId="77777777" w:rsidR="00133A63" w:rsidRPr="00A4252C" w:rsidRDefault="00133A63" w:rsidP="00D34956">
            <w:pPr>
              <w:spacing w:before="40" w:after="40"/>
              <w:jc w:val="left"/>
              <w:rPr>
                <w:rFonts w:ascii="Arial Narrow" w:hAnsi="Arial Narrow" w:cs="Arial"/>
                <w:b/>
                <w:sz w:val="15"/>
                <w:szCs w:val="15"/>
              </w:rPr>
            </w:pPr>
            <w:r w:rsidRPr="00A4252C">
              <w:rPr>
                <w:rFonts w:ascii="Arial Narrow" w:hAnsi="Arial Narrow" w:cs="Arial"/>
                <w:b/>
                <w:sz w:val="15"/>
                <w:szCs w:val="15"/>
              </w:rPr>
              <w:t>Voucher</w:t>
            </w:r>
          </w:p>
          <w:p w14:paraId="22D675B7" w14:textId="77777777" w:rsidR="00133A63" w:rsidRPr="00A4252C" w:rsidRDefault="00133A63" w:rsidP="00D34956">
            <w:pPr>
              <w:pStyle w:val="Paragrafoelenco10"/>
              <w:tabs>
                <w:tab w:val="left" w:pos="224"/>
              </w:tabs>
              <w:spacing w:before="40" w:after="40"/>
              <w:ind w:left="0"/>
              <w:jc w:val="left"/>
              <w:rPr>
                <w:rFonts w:ascii="Arial Narrow" w:hAnsi="Arial Narrow" w:cs="Arial"/>
                <w:sz w:val="15"/>
                <w:szCs w:val="15"/>
              </w:rPr>
            </w:pPr>
            <w:r w:rsidRPr="00A4252C">
              <w:rPr>
                <w:rFonts w:ascii="Arial Narrow" w:hAnsi="Arial Narrow" w:cs="Arial"/>
                <w:b/>
                <w:sz w:val="15"/>
                <w:szCs w:val="15"/>
              </w:rPr>
              <w:t>(Osservatorio sul lavoro accessorio)</w:t>
            </w:r>
          </w:p>
        </w:tc>
        <w:tc>
          <w:tcPr>
            <w:tcW w:w="1457" w:type="dxa"/>
            <w:tcBorders>
              <w:left w:val="nil"/>
              <w:right w:val="nil"/>
            </w:tcBorders>
            <w:shd w:val="clear" w:color="auto" w:fill="FFFFFF" w:themeFill="background1"/>
            <w:vAlign w:val="center"/>
          </w:tcPr>
          <w:p w14:paraId="186EBB69" w14:textId="77777777" w:rsidR="00133A63" w:rsidRPr="00A4252C" w:rsidRDefault="00133A63" w:rsidP="00D34956">
            <w:pPr>
              <w:pStyle w:val="Paragrafoelenco10"/>
              <w:tabs>
                <w:tab w:val="left" w:pos="224"/>
              </w:tabs>
              <w:spacing w:before="40" w:after="40"/>
              <w:ind w:left="97"/>
              <w:jc w:val="left"/>
              <w:rPr>
                <w:rFonts w:ascii="Arial Narrow" w:hAnsi="Arial Narrow" w:cs="Arial"/>
                <w:sz w:val="15"/>
                <w:szCs w:val="15"/>
              </w:rPr>
            </w:pPr>
            <w:r w:rsidRPr="00A4252C">
              <w:rPr>
                <w:rFonts w:ascii="Arial Narrow" w:hAnsi="Arial Narrow" w:cs="Arial"/>
                <w:b/>
                <w:sz w:val="15"/>
                <w:szCs w:val="15"/>
              </w:rPr>
              <w:t>Rilevazione sulle forze di lavoro</w:t>
            </w:r>
          </w:p>
        </w:tc>
        <w:tc>
          <w:tcPr>
            <w:tcW w:w="1457" w:type="dxa"/>
            <w:tcBorders>
              <w:left w:val="nil"/>
              <w:right w:val="nil"/>
            </w:tcBorders>
            <w:shd w:val="clear" w:color="auto" w:fill="FFFFFF" w:themeFill="background1"/>
            <w:vAlign w:val="center"/>
          </w:tcPr>
          <w:p w14:paraId="6B185B05" w14:textId="77777777" w:rsidR="00133A63" w:rsidRPr="00A4252C" w:rsidRDefault="00133A63" w:rsidP="00D34956">
            <w:pPr>
              <w:pStyle w:val="Paragrafoelenco10"/>
              <w:tabs>
                <w:tab w:val="left" w:pos="224"/>
              </w:tabs>
              <w:spacing w:before="40" w:after="40"/>
              <w:ind w:left="72"/>
              <w:jc w:val="left"/>
              <w:rPr>
                <w:rFonts w:ascii="Arial Narrow" w:hAnsi="Arial Narrow" w:cs="Arial"/>
                <w:sz w:val="15"/>
                <w:szCs w:val="15"/>
              </w:rPr>
            </w:pPr>
            <w:r w:rsidRPr="00A4252C">
              <w:rPr>
                <w:rFonts w:ascii="Arial Narrow" w:hAnsi="Arial Narrow" w:cs="Arial"/>
                <w:b/>
                <w:sz w:val="15"/>
                <w:szCs w:val="15"/>
              </w:rPr>
              <w:t>Indicatori sulle imprese (Rilevazioni Oros e Grandi imprese)</w:t>
            </w:r>
          </w:p>
        </w:tc>
        <w:tc>
          <w:tcPr>
            <w:tcW w:w="1457" w:type="dxa"/>
            <w:tcBorders>
              <w:left w:val="nil"/>
              <w:right w:val="nil"/>
            </w:tcBorders>
            <w:shd w:val="clear" w:color="auto" w:fill="FFFFFF" w:themeFill="background1"/>
            <w:vAlign w:val="center"/>
          </w:tcPr>
          <w:p w14:paraId="2068D1A5" w14:textId="77777777" w:rsidR="00133A63" w:rsidRPr="00A4252C" w:rsidRDefault="00133A63" w:rsidP="00D34956">
            <w:pPr>
              <w:pStyle w:val="Paragrafoelenco10"/>
              <w:tabs>
                <w:tab w:val="left" w:pos="185"/>
              </w:tabs>
              <w:spacing w:before="40" w:after="40"/>
              <w:ind w:left="0"/>
              <w:jc w:val="left"/>
              <w:rPr>
                <w:rFonts w:ascii="Arial Narrow" w:hAnsi="Arial Narrow" w:cs="Arial"/>
                <w:sz w:val="15"/>
                <w:szCs w:val="15"/>
              </w:rPr>
            </w:pPr>
            <w:r w:rsidRPr="00A4252C">
              <w:rPr>
                <w:rFonts w:ascii="Arial Narrow" w:hAnsi="Arial Narrow" w:cs="Arial"/>
                <w:b/>
                <w:sz w:val="15"/>
                <w:szCs w:val="15"/>
              </w:rPr>
              <w:t>Contabilità nazionale</w:t>
            </w:r>
          </w:p>
        </w:tc>
      </w:tr>
      <w:tr w:rsidR="00133A63" w:rsidRPr="00A4252C" w14:paraId="3ADB93B6" w14:textId="77777777" w:rsidTr="007A2049">
        <w:trPr>
          <w:cantSplit/>
        </w:trPr>
        <w:tc>
          <w:tcPr>
            <w:tcW w:w="1457" w:type="dxa"/>
            <w:tcBorders>
              <w:left w:val="nil"/>
              <w:right w:val="nil"/>
            </w:tcBorders>
          </w:tcPr>
          <w:p w14:paraId="4A5142F9" w14:textId="77777777" w:rsidR="00133A63" w:rsidRPr="00A4252C" w:rsidRDefault="00133A63" w:rsidP="00C13A4E">
            <w:pPr>
              <w:spacing w:before="60" w:after="40"/>
              <w:jc w:val="left"/>
              <w:rPr>
                <w:rFonts w:ascii="Arial Narrow" w:hAnsi="Arial Narrow" w:cs="Arial"/>
                <w:b/>
                <w:sz w:val="15"/>
                <w:szCs w:val="15"/>
              </w:rPr>
            </w:pPr>
            <w:r w:rsidRPr="00A4252C">
              <w:rPr>
                <w:rFonts w:ascii="Arial Narrow" w:hAnsi="Arial Narrow" w:cs="Arial"/>
                <w:b/>
                <w:sz w:val="15"/>
                <w:szCs w:val="15"/>
              </w:rPr>
              <w:t>Periodicità di diffusione e dettaglio territoriale dei dati</w:t>
            </w:r>
          </w:p>
        </w:tc>
        <w:tc>
          <w:tcPr>
            <w:tcW w:w="1457" w:type="dxa"/>
            <w:tcBorders>
              <w:left w:val="nil"/>
              <w:right w:val="nil"/>
            </w:tcBorders>
            <w:shd w:val="clear" w:color="auto" w:fill="F2F2F2" w:themeFill="background1" w:themeFillShade="F2"/>
          </w:tcPr>
          <w:p w14:paraId="2A8325CC" w14:textId="77777777" w:rsidR="00133A63" w:rsidRPr="00A4252C" w:rsidRDefault="00133A63" w:rsidP="00C13A4E">
            <w:pPr>
              <w:tabs>
                <w:tab w:val="left" w:pos="176"/>
              </w:tabs>
              <w:spacing w:before="60" w:after="40"/>
              <w:jc w:val="left"/>
              <w:rPr>
                <w:rFonts w:ascii="Arial Narrow" w:hAnsi="Arial Narrow" w:cs="Arial"/>
                <w:sz w:val="15"/>
                <w:szCs w:val="15"/>
              </w:rPr>
            </w:pPr>
            <w:r w:rsidRPr="00A4252C">
              <w:rPr>
                <w:rFonts w:ascii="Arial Narrow" w:hAnsi="Arial Narrow" w:cs="Arial"/>
                <w:sz w:val="15"/>
                <w:szCs w:val="15"/>
              </w:rPr>
              <w:t>A cadenza trimestrale: indicatori a livello nazionale e regionale.</w:t>
            </w:r>
          </w:p>
        </w:tc>
        <w:tc>
          <w:tcPr>
            <w:tcW w:w="1457" w:type="dxa"/>
            <w:tcBorders>
              <w:left w:val="nil"/>
              <w:right w:val="nil"/>
            </w:tcBorders>
            <w:shd w:val="clear" w:color="auto" w:fill="FFFFFF" w:themeFill="background1"/>
          </w:tcPr>
          <w:p w14:paraId="2711997F" w14:textId="3DE6D569" w:rsidR="00133A63" w:rsidRPr="00A4252C" w:rsidRDefault="00133A63" w:rsidP="00C13A4E">
            <w:pPr>
              <w:pStyle w:val="Paragrafoelenco10"/>
              <w:tabs>
                <w:tab w:val="left" w:pos="224"/>
              </w:tabs>
              <w:spacing w:before="60" w:after="40"/>
              <w:ind w:left="0"/>
              <w:contextualSpacing w:val="0"/>
              <w:jc w:val="left"/>
              <w:rPr>
                <w:rFonts w:ascii="Arial Narrow" w:hAnsi="Arial Narrow" w:cs="Arial"/>
                <w:b/>
                <w:sz w:val="15"/>
                <w:szCs w:val="15"/>
              </w:rPr>
            </w:pPr>
            <w:r w:rsidRPr="00A4252C">
              <w:rPr>
                <w:rFonts w:ascii="Arial Narrow" w:hAnsi="Arial Narrow" w:cs="Arial"/>
                <w:sz w:val="15"/>
                <w:szCs w:val="15"/>
              </w:rPr>
              <w:t xml:space="preserve">A cadenza mensile: indicatori a livello nazionale e regionale. </w:t>
            </w:r>
          </w:p>
        </w:tc>
        <w:tc>
          <w:tcPr>
            <w:tcW w:w="1457" w:type="dxa"/>
            <w:tcBorders>
              <w:left w:val="nil"/>
              <w:right w:val="nil"/>
            </w:tcBorders>
            <w:shd w:val="clear" w:color="auto" w:fill="F2F2F2" w:themeFill="background1" w:themeFillShade="F2"/>
          </w:tcPr>
          <w:p w14:paraId="693A56C1"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 xml:space="preserve">A cadenza mensile per i buoni lavoro venduti e annuale per i prestatori.Iindicatori a livello nazionale e regionale. </w:t>
            </w:r>
          </w:p>
          <w:p w14:paraId="7E1F1E19"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tc>
        <w:tc>
          <w:tcPr>
            <w:tcW w:w="1457" w:type="dxa"/>
            <w:tcBorders>
              <w:left w:val="nil"/>
              <w:right w:val="nil"/>
            </w:tcBorders>
            <w:shd w:val="clear" w:color="auto" w:fill="FFFFFF" w:themeFill="background1"/>
          </w:tcPr>
          <w:p w14:paraId="0AD2AC2E"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A cadenza mensile e trimestrale: stime indicatori a livello nazionale.</w:t>
            </w:r>
          </w:p>
          <w:p w14:paraId="4F24275E"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p w14:paraId="39072601"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A cadenza trimestrale: stime indicatori nel dettaglio regionale.</w:t>
            </w:r>
          </w:p>
          <w:p w14:paraId="6249BA92"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6E6BB669" w14:textId="77777777" w:rsidR="00133A63" w:rsidRPr="00A4252C" w:rsidRDefault="00133A63" w:rsidP="00C13A4E">
            <w:pPr>
              <w:pStyle w:val="Paragrafoelenco10"/>
              <w:tabs>
                <w:tab w:val="left" w:pos="95"/>
                <w:tab w:val="left" w:pos="237"/>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A cadenza annuale: stime degli indicatori nel dettaglio provinciale.</w:t>
            </w:r>
          </w:p>
          <w:p w14:paraId="41875472" w14:textId="77777777" w:rsidR="00AB4BA4" w:rsidRPr="00A4252C" w:rsidRDefault="00AB4BA4" w:rsidP="00C13A4E">
            <w:pPr>
              <w:pStyle w:val="Paragrafoelenco10"/>
              <w:tabs>
                <w:tab w:val="left" w:pos="95"/>
                <w:tab w:val="left" w:pos="237"/>
              </w:tabs>
              <w:spacing w:before="60" w:after="40"/>
              <w:ind w:left="0"/>
              <w:contextualSpacing w:val="0"/>
              <w:jc w:val="left"/>
              <w:rPr>
                <w:rFonts w:ascii="Arial Narrow" w:hAnsi="Arial Narrow" w:cs="Arial"/>
                <w:sz w:val="15"/>
                <w:szCs w:val="15"/>
              </w:rPr>
            </w:pPr>
          </w:p>
        </w:tc>
        <w:tc>
          <w:tcPr>
            <w:tcW w:w="1457" w:type="dxa"/>
            <w:tcBorders>
              <w:left w:val="nil"/>
              <w:right w:val="nil"/>
            </w:tcBorders>
            <w:shd w:val="clear" w:color="auto" w:fill="F2F2F2" w:themeFill="background1" w:themeFillShade="F2"/>
          </w:tcPr>
          <w:p w14:paraId="6F78CD7D" w14:textId="0401576B"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 xml:space="preserve">A cadenza trimestrale: stime degli indicatori a livello nazionale. </w:t>
            </w:r>
          </w:p>
        </w:tc>
        <w:tc>
          <w:tcPr>
            <w:tcW w:w="1457" w:type="dxa"/>
            <w:tcBorders>
              <w:left w:val="nil"/>
              <w:right w:val="nil"/>
            </w:tcBorders>
            <w:shd w:val="clear" w:color="auto" w:fill="FFFFFF" w:themeFill="background1"/>
          </w:tcPr>
          <w:p w14:paraId="0870287A"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A cadenza annuale e trimestrale: stime dell’input di lavoro a livello nazionale.</w:t>
            </w:r>
          </w:p>
          <w:p w14:paraId="51CD91BB"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p>
          <w:p w14:paraId="565CA2BA"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 xml:space="preserve">A cadenza annuale: stime dell’input di lavoro nel dettaglio regionale e provinciale. </w:t>
            </w:r>
          </w:p>
        </w:tc>
      </w:tr>
      <w:tr w:rsidR="00133A63" w:rsidRPr="00A4252C" w14:paraId="7178FBB1" w14:textId="77777777" w:rsidTr="007A2049">
        <w:trPr>
          <w:cantSplit/>
        </w:trPr>
        <w:tc>
          <w:tcPr>
            <w:tcW w:w="1457" w:type="dxa"/>
            <w:tcBorders>
              <w:left w:val="nil"/>
              <w:right w:val="nil"/>
            </w:tcBorders>
          </w:tcPr>
          <w:p w14:paraId="14BE744D" w14:textId="77777777" w:rsidR="00133A63" w:rsidRPr="00A4252C" w:rsidRDefault="00133A63" w:rsidP="00C13A4E">
            <w:pPr>
              <w:spacing w:before="60" w:after="40"/>
              <w:jc w:val="left"/>
              <w:rPr>
                <w:rFonts w:ascii="Arial Narrow" w:hAnsi="Arial Narrow" w:cs="Arial"/>
                <w:b/>
                <w:sz w:val="15"/>
                <w:szCs w:val="15"/>
              </w:rPr>
            </w:pPr>
            <w:r w:rsidRPr="00A4252C">
              <w:rPr>
                <w:rFonts w:ascii="Arial Narrow" w:hAnsi="Arial Narrow" w:cs="Arial"/>
                <w:b/>
                <w:sz w:val="15"/>
                <w:szCs w:val="15"/>
              </w:rPr>
              <w:t>Tempestività</w:t>
            </w:r>
          </w:p>
        </w:tc>
        <w:tc>
          <w:tcPr>
            <w:tcW w:w="1457" w:type="dxa"/>
            <w:tcBorders>
              <w:left w:val="nil"/>
              <w:right w:val="nil"/>
            </w:tcBorders>
            <w:shd w:val="clear" w:color="auto" w:fill="F2F2F2" w:themeFill="background1" w:themeFillShade="F2"/>
          </w:tcPr>
          <w:p w14:paraId="698076E0" w14:textId="77777777" w:rsidR="00133A63" w:rsidRPr="00A4252C"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A4252C">
              <w:rPr>
                <w:rFonts w:ascii="Arial Narrow" w:hAnsi="Arial Narrow" w:cs="Arial"/>
                <w:sz w:val="15"/>
                <w:szCs w:val="15"/>
              </w:rPr>
              <w:t>50 giorni rispetto al trimestre di riferimento.</w:t>
            </w:r>
          </w:p>
        </w:tc>
        <w:tc>
          <w:tcPr>
            <w:tcW w:w="1457" w:type="dxa"/>
            <w:tcBorders>
              <w:left w:val="nil"/>
              <w:right w:val="nil"/>
            </w:tcBorders>
            <w:shd w:val="clear" w:color="auto" w:fill="FFFFFF" w:themeFill="background1"/>
          </w:tcPr>
          <w:p w14:paraId="00E9CC7D" w14:textId="190238C1"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48 giorni rispetto al mese di riferimento.</w:t>
            </w:r>
          </w:p>
        </w:tc>
        <w:tc>
          <w:tcPr>
            <w:tcW w:w="1457" w:type="dxa"/>
            <w:tcBorders>
              <w:left w:val="nil"/>
              <w:right w:val="nil"/>
            </w:tcBorders>
            <w:shd w:val="clear" w:color="auto" w:fill="F2F2F2" w:themeFill="background1" w:themeFillShade="F2"/>
          </w:tcPr>
          <w:p w14:paraId="24568EEA"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48 giorni rispetto al mese di riferimento per i buoni lavoro venduti.</w:t>
            </w:r>
          </w:p>
          <w:p w14:paraId="27B57930"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3541BA5A"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3 mesi rispetto all’ultimo anno per i prestatori.</w:t>
            </w:r>
          </w:p>
          <w:p w14:paraId="5876A51D" w14:textId="064DB6D5" w:rsidR="00AB4BA4" w:rsidRPr="00A4252C" w:rsidRDefault="00AB4BA4" w:rsidP="00C13A4E">
            <w:pPr>
              <w:pStyle w:val="Paragrafoelenco10"/>
              <w:tabs>
                <w:tab w:val="left" w:pos="224"/>
              </w:tabs>
              <w:spacing w:before="60" w:after="40"/>
              <w:ind w:left="0"/>
              <w:contextualSpacing w:val="0"/>
              <w:jc w:val="left"/>
              <w:rPr>
                <w:rFonts w:ascii="Arial Narrow" w:hAnsi="Arial Narrow" w:cs="Arial"/>
                <w:sz w:val="15"/>
                <w:szCs w:val="15"/>
              </w:rPr>
            </w:pPr>
          </w:p>
        </w:tc>
        <w:tc>
          <w:tcPr>
            <w:tcW w:w="1457" w:type="dxa"/>
            <w:tcBorders>
              <w:left w:val="nil"/>
              <w:right w:val="nil"/>
            </w:tcBorders>
            <w:shd w:val="clear" w:color="auto" w:fill="FFFFFF" w:themeFill="background1"/>
          </w:tcPr>
          <w:p w14:paraId="5AA922EC"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68 giorni rispetto al trimestre di riferimento.</w:t>
            </w:r>
          </w:p>
        </w:tc>
        <w:tc>
          <w:tcPr>
            <w:tcW w:w="1457" w:type="dxa"/>
            <w:tcBorders>
              <w:left w:val="nil"/>
              <w:right w:val="nil"/>
            </w:tcBorders>
            <w:shd w:val="clear" w:color="auto" w:fill="F2F2F2" w:themeFill="background1" w:themeFillShade="F2"/>
          </w:tcPr>
          <w:p w14:paraId="25ADAC53" w14:textId="77777777" w:rsidR="00133A63" w:rsidRPr="00A4252C" w:rsidRDefault="00133A63" w:rsidP="00C13A4E">
            <w:pPr>
              <w:pStyle w:val="Paragrafoelenco10"/>
              <w:tabs>
                <w:tab w:val="left" w:pos="224"/>
              </w:tabs>
              <w:spacing w:before="60" w:after="40"/>
              <w:ind w:left="72"/>
              <w:contextualSpacing w:val="0"/>
              <w:jc w:val="left"/>
              <w:rPr>
                <w:rFonts w:ascii="Arial Narrow" w:hAnsi="Arial Narrow" w:cs="Arial"/>
                <w:sz w:val="15"/>
                <w:szCs w:val="15"/>
              </w:rPr>
            </w:pPr>
            <w:r w:rsidRPr="00A4252C">
              <w:rPr>
                <w:rFonts w:ascii="Arial Narrow" w:hAnsi="Arial Narrow" w:cs="Arial"/>
                <w:sz w:val="15"/>
                <w:szCs w:val="15"/>
              </w:rPr>
              <w:t>68 giorni rispetto al trimestre di riferimento.</w:t>
            </w:r>
          </w:p>
        </w:tc>
        <w:tc>
          <w:tcPr>
            <w:tcW w:w="1457" w:type="dxa"/>
            <w:tcBorders>
              <w:left w:val="nil"/>
              <w:right w:val="nil"/>
            </w:tcBorders>
            <w:shd w:val="clear" w:color="auto" w:fill="FFFFFF" w:themeFill="background1"/>
          </w:tcPr>
          <w:p w14:paraId="12B8B7E8"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60 giorni rispetto al trimestre di riferimento</w:t>
            </w:r>
          </w:p>
          <w:p w14:paraId="53740B42"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(stima provvisoria).</w:t>
            </w:r>
          </w:p>
          <w:p w14:paraId="25E0C3DC"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p>
          <w:p w14:paraId="3AC6A371"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p>
        </w:tc>
      </w:tr>
      <w:tr w:rsidR="00133A63" w:rsidRPr="00A4252C" w14:paraId="2954097F" w14:textId="77777777" w:rsidTr="007A2049">
        <w:trPr>
          <w:cantSplit/>
        </w:trPr>
        <w:tc>
          <w:tcPr>
            <w:tcW w:w="1457" w:type="dxa"/>
            <w:tcBorders>
              <w:left w:val="nil"/>
              <w:right w:val="nil"/>
            </w:tcBorders>
          </w:tcPr>
          <w:p w14:paraId="495CA6BE" w14:textId="77777777" w:rsidR="00133A63" w:rsidRPr="00A4252C" w:rsidRDefault="00133A63" w:rsidP="00C13A4E">
            <w:pPr>
              <w:spacing w:before="60" w:after="40"/>
              <w:jc w:val="left"/>
              <w:rPr>
                <w:rFonts w:ascii="Arial Narrow" w:hAnsi="Arial Narrow" w:cs="Arial"/>
                <w:b/>
                <w:sz w:val="15"/>
                <w:szCs w:val="15"/>
              </w:rPr>
            </w:pPr>
            <w:r w:rsidRPr="00A4252C">
              <w:rPr>
                <w:rFonts w:ascii="Arial Narrow" w:hAnsi="Arial Narrow" w:cs="Arial"/>
                <w:b/>
                <w:sz w:val="15"/>
                <w:szCs w:val="15"/>
              </w:rPr>
              <w:t xml:space="preserve">Riferimento all’ultima diffusione </w:t>
            </w:r>
          </w:p>
        </w:tc>
        <w:tc>
          <w:tcPr>
            <w:tcW w:w="1457" w:type="dxa"/>
            <w:tcBorders>
              <w:left w:val="nil"/>
              <w:right w:val="nil"/>
            </w:tcBorders>
            <w:shd w:val="clear" w:color="auto" w:fill="F2F2F2" w:themeFill="background1" w:themeFillShade="F2"/>
          </w:tcPr>
          <w:p w14:paraId="0275A104" w14:textId="77777777" w:rsidR="00133A63" w:rsidRPr="00A4252C"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A4252C">
              <w:rPr>
                <w:rFonts w:ascii="Arial Narrow" w:hAnsi="Arial Narrow" w:cs="Arial"/>
                <w:sz w:val="15"/>
                <w:szCs w:val="15"/>
              </w:rPr>
              <w:t>Percorso parlante:</w:t>
            </w:r>
          </w:p>
          <w:p w14:paraId="75AECFB2" w14:textId="77777777" w:rsidR="00133A63" w:rsidRPr="00A4252C" w:rsidRDefault="00992541" w:rsidP="00C13A4E">
            <w:pPr>
              <w:pStyle w:val="Paragrafoelenco1"/>
              <w:tabs>
                <w:tab w:val="left" w:pos="176"/>
              </w:tabs>
              <w:spacing w:before="60" w:after="40"/>
              <w:ind w:left="34"/>
              <w:contextualSpacing w:val="0"/>
              <w:jc w:val="left"/>
              <w:rPr>
                <w:rFonts w:ascii="Arial Narrow" w:hAnsi="Arial Narrow" w:cs="Arial"/>
                <w:sz w:val="15"/>
                <w:szCs w:val="15"/>
              </w:rPr>
            </w:pPr>
            <w:hyperlink r:id="rId32" w:history="1">
              <w:r w:rsidR="00133A63" w:rsidRPr="00A4252C">
                <w:rPr>
                  <w:rStyle w:val="Collegamentoipertestuale"/>
                  <w:rFonts w:ascii="Arial Narrow" w:hAnsi="Arial Narrow" w:cs="Arial"/>
                  <w:sz w:val="15"/>
                  <w:szCs w:val="15"/>
                </w:rPr>
                <w:t>www.lavoro.gov.it</w:t>
              </w:r>
            </w:hyperlink>
          </w:p>
          <w:p w14:paraId="4E62D72D" w14:textId="77777777" w:rsidR="00133A63" w:rsidRPr="00A4252C"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A4252C">
              <w:rPr>
                <w:rFonts w:ascii="Arial Narrow" w:hAnsi="Arial Narrow" w:cs="Arial"/>
                <w:sz w:val="15"/>
                <w:szCs w:val="15"/>
              </w:rPr>
              <w:t>Temi e priorità &gt; Occupazione &gt; Studi e Statistiche &gt; Nota trimestrale delle Comunicazioni obbligatorie</w:t>
            </w:r>
          </w:p>
          <w:p w14:paraId="40E5BF53" w14:textId="77777777" w:rsidR="00133A63" w:rsidRPr="00A4252C"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p>
          <w:p w14:paraId="48E9B529" w14:textId="77777777" w:rsidR="00133A63" w:rsidRPr="00A4252C" w:rsidRDefault="00133A63" w:rsidP="00C13A4E">
            <w:pPr>
              <w:pStyle w:val="Paragrafoelenco1"/>
              <w:tabs>
                <w:tab w:val="left" w:pos="176"/>
              </w:tabs>
              <w:spacing w:before="60" w:after="40"/>
              <w:ind w:left="34"/>
              <w:contextualSpacing w:val="0"/>
              <w:jc w:val="left"/>
              <w:rPr>
                <w:rFonts w:ascii="Arial Narrow" w:hAnsi="Arial Narrow" w:cs="Arial"/>
                <w:sz w:val="15"/>
                <w:szCs w:val="15"/>
              </w:rPr>
            </w:pPr>
            <w:r w:rsidRPr="00A4252C">
              <w:rPr>
                <w:rFonts w:ascii="Arial Narrow" w:hAnsi="Arial Narrow" w:cs="Arial"/>
                <w:sz w:val="15"/>
                <w:szCs w:val="15"/>
              </w:rPr>
              <w:t>Link diretto:</w:t>
            </w:r>
          </w:p>
          <w:p w14:paraId="3596F13A" w14:textId="77777777" w:rsidR="00133A63" w:rsidRPr="00A4252C" w:rsidRDefault="00992541" w:rsidP="00C13A4E">
            <w:pPr>
              <w:pStyle w:val="Paragrafoelenco10"/>
              <w:tabs>
                <w:tab w:val="left" w:pos="224"/>
              </w:tabs>
              <w:spacing w:before="60" w:after="40"/>
              <w:ind w:left="0"/>
              <w:contextualSpacing w:val="0"/>
              <w:jc w:val="left"/>
              <w:rPr>
                <w:rStyle w:val="Collegamentoipertestuale"/>
                <w:rFonts w:ascii="Arial Narrow" w:eastAsia="Times New Roman" w:hAnsi="Arial Narrow" w:cs="Arial"/>
                <w:sz w:val="15"/>
                <w:szCs w:val="15"/>
              </w:rPr>
            </w:pPr>
            <w:hyperlink r:id="rId33" w:history="1">
              <w:r w:rsidR="00133A63" w:rsidRPr="00A4252C">
                <w:rPr>
                  <w:rStyle w:val="Collegamentoipertestuale"/>
                  <w:rFonts w:ascii="Arial Narrow" w:eastAsia="Times New Roman" w:hAnsi="Arial Narrow" w:cs="Arial"/>
                  <w:sz w:val="15"/>
                  <w:szCs w:val="15"/>
                </w:rPr>
                <w:t>Studi e statistiche SISCO</w:t>
              </w:r>
            </w:hyperlink>
          </w:p>
          <w:p w14:paraId="1581FC64" w14:textId="0DFB8C9A" w:rsidR="00AB4BA4" w:rsidRPr="00A4252C" w:rsidRDefault="00AB4BA4" w:rsidP="00C13A4E">
            <w:pPr>
              <w:pStyle w:val="Paragrafoelenco10"/>
              <w:tabs>
                <w:tab w:val="left" w:pos="224"/>
              </w:tabs>
              <w:spacing w:before="60" w:after="40"/>
              <w:ind w:left="0"/>
              <w:contextualSpacing w:val="0"/>
              <w:jc w:val="left"/>
              <w:rPr>
                <w:rFonts w:ascii="Arial Narrow" w:hAnsi="Arial Narrow" w:cs="Arial"/>
                <w:sz w:val="15"/>
                <w:szCs w:val="15"/>
              </w:rPr>
            </w:pPr>
          </w:p>
        </w:tc>
        <w:tc>
          <w:tcPr>
            <w:tcW w:w="1457" w:type="dxa"/>
            <w:tcBorders>
              <w:left w:val="nil"/>
              <w:right w:val="nil"/>
            </w:tcBorders>
            <w:shd w:val="clear" w:color="auto" w:fill="FFFFFF" w:themeFill="background1"/>
          </w:tcPr>
          <w:p w14:paraId="36BC32AA"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 xml:space="preserve">Percorso parlante: </w:t>
            </w:r>
            <w:hyperlink r:id="rId34" w:history="1">
              <w:r w:rsidRPr="00A4252C">
                <w:rPr>
                  <w:rStyle w:val="Collegamentoipertestuale"/>
                  <w:rFonts w:ascii="Arial Narrow" w:eastAsia="Times New Roman" w:hAnsi="Arial Narrow" w:cs="Arial"/>
                  <w:sz w:val="15"/>
                  <w:szCs w:val="15"/>
                </w:rPr>
                <w:t>www.inps.it</w:t>
              </w:r>
            </w:hyperlink>
            <w:r w:rsidRPr="00A4252C">
              <w:rPr>
                <w:rFonts w:ascii="Arial Narrow" w:hAnsi="Arial Narrow" w:cs="Arial"/>
                <w:sz w:val="15"/>
                <w:szCs w:val="15"/>
              </w:rPr>
              <w:t xml:space="preserve"> Dati e analisi &gt; Osservatori statistici &gt; Osservatorio sul precariato</w:t>
            </w:r>
          </w:p>
          <w:p w14:paraId="6CF06F48"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5EEA20F4"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sz w:val="15"/>
                <w:szCs w:val="15"/>
              </w:rPr>
            </w:pPr>
            <w:r w:rsidRPr="00A4252C">
              <w:rPr>
                <w:rFonts w:ascii="Arial Narrow" w:hAnsi="Arial Narrow" w:cs="Arial"/>
                <w:sz w:val="15"/>
                <w:szCs w:val="15"/>
              </w:rPr>
              <w:t xml:space="preserve">Link diretto: </w:t>
            </w:r>
          </w:p>
          <w:p w14:paraId="0A3AFCBA" w14:textId="36F62FA7" w:rsidR="00133A63" w:rsidRPr="00A4252C" w:rsidRDefault="00992541" w:rsidP="00C13A4E">
            <w:pPr>
              <w:pStyle w:val="Paragrafoelenco10"/>
              <w:tabs>
                <w:tab w:val="left" w:pos="224"/>
              </w:tabs>
              <w:spacing w:before="60" w:after="40"/>
              <w:ind w:left="0"/>
              <w:contextualSpacing w:val="0"/>
              <w:jc w:val="left"/>
              <w:rPr>
                <w:rFonts w:ascii="Arial Narrow" w:hAnsi="Arial Narrow" w:cs="Arial"/>
                <w:sz w:val="15"/>
                <w:szCs w:val="15"/>
              </w:rPr>
            </w:pPr>
            <w:hyperlink r:id="rId35" w:tooltip="Osservatorio sul Precariato" w:history="1">
              <w:r w:rsidR="00133A63" w:rsidRPr="00A4252C">
                <w:rPr>
                  <w:rStyle w:val="Collegamentoipertestuale"/>
                  <w:rFonts w:ascii="Arial Narrow" w:eastAsia="Times New Roman" w:hAnsi="Arial Narrow" w:cs="Arial"/>
                  <w:sz w:val="15"/>
                  <w:szCs w:val="15"/>
                </w:rPr>
                <w:t>Osservatorio Precariato</w:t>
              </w:r>
            </w:hyperlink>
          </w:p>
        </w:tc>
        <w:tc>
          <w:tcPr>
            <w:tcW w:w="1457" w:type="dxa"/>
            <w:tcBorders>
              <w:left w:val="nil"/>
              <w:right w:val="nil"/>
            </w:tcBorders>
            <w:shd w:val="clear" w:color="auto" w:fill="F2F2F2" w:themeFill="background1" w:themeFillShade="F2"/>
          </w:tcPr>
          <w:p w14:paraId="13FE160F"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 xml:space="preserve">Percorso parlante: </w:t>
            </w:r>
            <w:hyperlink r:id="rId36" w:history="1">
              <w:r w:rsidRPr="00A4252C">
                <w:rPr>
                  <w:rStyle w:val="Collegamentoipertestuale"/>
                  <w:rFonts w:ascii="Arial Narrow" w:eastAsia="Times New Roman" w:hAnsi="Arial Narrow" w:cs="Arial"/>
                  <w:sz w:val="15"/>
                  <w:szCs w:val="15"/>
                </w:rPr>
                <w:t>www.inps.it</w:t>
              </w:r>
            </w:hyperlink>
            <w:r w:rsidRPr="00A4252C">
              <w:rPr>
                <w:rFonts w:ascii="Arial Narrow" w:hAnsi="Arial Narrow" w:cs="Arial"/>
                <w:sz w:val="15"/>
                <w:szCs w:val="15"/>
              </w:rPr>
              <w:t xml:space="preserve"> Dati e analisi &gt; Osservatori statistici &gt; Osservatorio sul lavoro accessorio</w:t>
            </w:r>
          </w:p>
          <w:p w14:paraId="15A0F08E"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p>
          <w:p w14:paraId="5A39266A" w14:textId="77777777" w:rsidR="00133A63" w:rsidRPr="00A4252C" w:rsidRDefault="00133A63" w:rsidP="00C13A4E">
            <w:pPr>
              <w:pStyle w:val="Paragrafoelenco10"/>
              <w:tabs>
                <w:tab w:val="left" w:pos="224"/>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Link diretto:</w:t>
            </w:r>
          </w:p>
          <w:p w14:paraId="1D648738" w14:textId="3DC48384" w:rsidR="00133A63" w:rsidRPr="00A4252C" w:rsidRDefault="00992541" w:rsidP="00C13A4E">
            <w:pPr>
              <w:spacing w:before="60"/>
              <w:jc w:val="left"/>
              <w:rPr>
                <w:rFonts w:ascii="Arial Narrow" w:hAnsi="Arial Narrow" w:cs="Arial"/>
                <w:sz w:val="15"/>
                <w:szCs w:val="15"/>
              </w:rPr>
            </w:pPr>
            <w:hyperlink r:id="rId37" w:history="1">
              <w:r w:rsidR="00133A63" w:rsidRPr="00A4252C">
                <w:rPr>
                  <w:rStyle w:val="Collegamentoipertestuale"/>
                  <w:rFonts w:ascii="Arial Narrow" w:hAnsi="Arial Narrow"/>
                  <w:sz w:val="15"/>
                  <w:szCs w:val="15"/>
                </w:rPr>
                <w:t>Osservatorio Lavoro accessorio</w:t>
              </w:r>
            </w:hyperlink>
          </w:p>
        </w:tc>
        <w:tc>
          <w:tcPr>
            <w:tcW w:w="1457" w:type="dxa"/>
            <w:tcBorders>
              <w:left w:val="nil"/>
              <w:right w:val="nil"/>
            </w:tcBorders>
            <w:shd w:val="clear" w:color="auto" w:fill="FFFFFF" w:themeFill="background1"/>
          </w:tcPr>
          <w:p w14:paraId="34A42658"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A4252C">
              <w:rPr>
                <w:rFonts w:ascii="Arial Narrow" w:hAnsi="Arial Narrow" w:cs="Arial"/>
                <w:sz w:val="15"/>
                <w:szCs w:val="15"/>
              </w:rPr>
              <w:t xml:space="preserve">Percorso parlante: </w:t>
            </w:r>
            <w:hyperlink r:id="rId38" w:history="1">
              <w:r w:rsidRPr="00A4252C">
                <w:rPr>
                  <w:rStyle w:val="Collegamentoipertestuale"/>
                  <w:rFonts w:ascii="Arial Narrow" w:eastAsia="Times New Roman" w:hAnsi="Arial Narrow" w:cs="Arial"/>
                  <w:sz w:val="15"/>
                  <w:szCs w:val="15"/>
                </w:rPr>
                <w:t>www.istat.it</w:t>
              </w:r>
            </w:hyperlink>
          </w:p>
          <w:p w14:paraId="185FBDE3"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A4252C">
              <w:rPr>
                <w:rFonts w:ascii="Arial Narrow" w:hAnsi="Arial Narrow" w:cs="Arial"/>
                <w:sz w:val="15"/>
                <w:szCs w:val="15"/>
              </w:rPr>
              <w:t>Argomento: lavoro e retribuzioni &gt; Archivio &gt;Il mercato del lavoro</w:t>
            </w:r>
          </w:p>
          <w:p w14:paraId="2C045E9F"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p w14:paraId="3EAEB33B"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A4252C">
              <w:rPr>
                <w:rFonts w:ascii="Arial Narrow" w:hAnsi="Arial Narrow" w:cs="Arial"/>
                <w:sz w:val="15"/>
                <w:szCs w:val="15"/>
              </w:rPr>
              <w:t>Link diretto:</w:t>
            </w:r>
          </w:p>
          <w:p w14:paraId="6A64B205" w14:textId="1D8EE533" w:rsidR="00133A63" w:rsidRPr="00A4252C" w:rsidRDefault="00992541" w:rsidP="00C13A4E">
            <w:pPr>
              <w:pStyle w:val="Paragrafoelenco10"/>
              <w:tabs>
                <w:tab w:val="left" w:pos="224"/>
              </w:tabs>
              <w:spacing w:before="60" w:after="40"/>
              <w:ind w:left="0"/>
              <w:contextualSpacing w:val="0"/>
              <w:jc w:val="left"/>
              <w:rPr>
                <w:rFonts w:ascii="Arial Narrow" w:hAnsi="Arial Narrow" w:cs="Arial"/>
                <w:sz w:val="15"/>
                <w:szCs w:val="15"/>
              </w:rPr>
            </w:pPr>
            <w:hyperlink r:id="rId39" w:history="1">
              <w:r w:rsidR="00133A63" w:rsidRPr="00A4252C">
                <w:rPr>
                  <w:rStyle w:val="Collegamentoipertestuale"/>
                  <w:rFonts w:ascii="Arial Narrow" w:eastAsia="Times New Roman" w:hAnsi="Arial Narrow" w:cs="Arial"/>
                  <w:sz w:val="15"/>
                  <w:szCs w:val="15"/>
                </w:rPr>
                <w:t>Il mercato del lavoro- una lettura integrata</w:t>
              </w:r>
            </w:hyperlink>
          </w:p>
        </w:tc>
        <w:tc>
          <w:tcPr>
            <w:tcW w:w="1457" w:type="dxa"/>
            <w:tcBorders>
              <w:left w:val="nil"/>
              <w:right w:val="nil"/>
            </w:tcBorders>
            <w:shd w:val="clear" w:color="auto" w:fill="F2F2F2" w:themeFill="background1" w:themeFillShade="F2"/>
          </w:tcPr>
          <w:p w14:paraId="340E5604"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A4252C">
              <w:rPr>
                <w:rFonts w:ascii="Arial Narrow" w:hAnsi="Arial Narrow" w:cs="Arial"/>
                <w:sz w:val="15"/>
                <w:szCs w:val="15"/>
              </w:rPr>
              <w:t xml:space="preserve">Percorso parlante: </w:t>
            </w:r>
            <w:hyperlink r:id="rId40" w:history="1">
              <w:r w:rsidRPr="00A4252C">
                <w:rPr>
                  <w:rStyle w:val="Collegamentoipertestuale"/>
                  <w:rFonts w:ascii="Arial Narrow" w:eastAsia="Times New Roman" w:hAnsi="Arial Narrow" w:cs="Arial"/>
                  <w:sz w:val="15"/>
                  <w:szCs w:val="15"/>
                </w:rPr>
                <w:t>www.istat.it</w:t>
              </w:r>
            </w:hyperlink>
          </w:p>
          <w:p w14:paraId="25069605"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A4252C">
              <w:rPr>
                <w:rFonts w:ascii="Arial Narrow" w:hAnsi="Arial Narrow" w:cs="Arial"/>
                <w:sz w:val="15"/>
                <w:szCs w:val="15"/>
              </w:rPr>
              <w:t>Argomento: lavoro e retribuzioni &gt; Archivio &gt;Il mercato del lavoro</w:t>
            </w:r>
          </w:p>
          <w:p w14:paraId="08B60AFF"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p>
          <w:p w14:paraId="4AD08F8F" w14:textId="77777777" w:rsidR="00133A63" w:rsidRPr="00A4252C" w:rsidRDefault="00133A63" w:rsidP="00C13A4E">
            <w:pPr>
              <w:pStyle w:val="Paragrafoelenco10"/>
              <w:tabs>
                <w:tab w:val="left" w:pos="224"/>
              </w:tabs>
              <w:spacing w:before="60" w:after="40"/>
              <w:ind w:left="97"/>
              <w:contextualSpacing w:val="0"/>
              <w:jc w:val="left"/>
              <w:rPr>
                <w:rFonts w:ascii="Arial Narrow" w:hAnsi="Arial Narrow" w:cs="Arial"/>
                <w:sz w:val="15"/>
                <w:szCs w:val="15"/>
              </w:rPr>
            </w:pPr>
            <w:r w:rsidRPr="00A4252C">
              <w:rPr>
                <w:rFonts w:ascii="Arial Narrow" w:hAnsi="Arial Narrow" w:cs="Arial"/>
                <w:sz w:val="15"/>
                <w:szCs w:val="15"/>
              </w:rPr>
              <w:t>Link diretto:</w:t>
            </w:r>
          </w:p>
          <w:p w14:paraId="3E204042" w14:textId="77777777" w:rsidR="00133A63" w:rsidRPr="00A4252C" w:rsidRDefault="00992541" w:rsidP="00C13A4E">
            <w:pPr>
              <w:pStyle w:val="Paragrafoelenco10"/>
              <w:tabs>
                <w:tab w:val="left" w:pos="224"/>
              </w:tabs>
              <w:spacing w:before="60" w:after="40"/>
              <w:ind w:left="0"/>
              <w:contextualSpacing w:val="0"/>
              <w:jc w:val="left"/>
              <w:rPr>
                <w:rFonts w:ascii="Arial Narrow" w:hAnsi="Arial Narrow" w:cs="Arial"/>
                <w:sz w:val="15"/>
                <w:szCs w:val="15"/>
              </w:rPr>
            </w:pPr>
            <w:hyperlink r:id="rId41" w:history="1">
              <w:r w:rsidR="00133A63" w:rsidRPr="00A4252C">
                <w:rPr>
                  <w:rStyle w:val="Collegamentoipertestuale"/>
                  <w:rFonts w:ascii="Arial Narrow" w:eastAsia="Times New Roman" w:hAnsi="Arial Narrow" w:cs="Arial"/>
                  <w:sz w:val="15"/>
                  <w:szCs w:val="15"/>
                </w:rPr>
                <w:t>Il mercato del lavoro- una lettura integrata</w:t>
              </w:r>
            </w:hyperlink>
          </w:p>
        </w:tc>
        <w:tc>
          <w:tcPr>
            <w:tcW w:w="1457" w:type="dxa"/>
            <w:tcBorders>
              <w:left w:val="nil"/>
              <w:right w:val="nil"/>
            </w:tcBorders>
            <w:shd w:val="clear" w:color="auto" w:fill="FFFFFF" w:themeFill="background1"/>
          </w:tcPr>
          <w:p w14:paraId="764DFF9C" w14:textId="77777777" w:rsidR="00133A63" w:rsidRPr="00A4252C" w:rsidRDefault="00133A63" w:rsidP="00C13A4E">
            <w:pPr>
              <w:pStyle w:val="Paragrafoelenco10"/>
              <w:tabs>
                <w:tab w:val="left" w:pos="185"/>
              </w:tabs>
              <w:spacing w:before="60" w:after="40"/>
              <w:ind w:left="0"/>
              <w:contextualSpacing w:val="0"/>
              <w:jc w:val="left"/>
              <w:rPr>
                <w:rFonts w:ascii="Arial Narrow" w:hAnsi="Arial Narrow" w:cs="Arial"/>
                <w:sz w:val="15"/>
                <w:szCs w:val="15"/>
              </w:rPr>
            </w:pPr>
            <w:r w:rsidRPr="00A4252C">
              <w:rPr>
                <w:rFonts w:ascii="Arial Narrow" w:hAnsi="Arial Narrow" w:cs="Arial"/>
                <w:sz w:val="15"/>
                <w:szCs w:val="15"/>
              </w:rPr>
              <w:t>I dati vengono rilasciati trimestralmente sul datawarehouse dell’Istat (I.stat)</w:t>
            </w:r>
          </w:p>
        </w:tc>
      </w:tr>
    </w:tbl>
    <w:p w14:paraId="15C31824" w14:textId="0AA1B4B5" w:rsidR="00133A63" w:rsidRPr="00A4252C" w:rsidRDefault="00133A63" w:rsidP="005B20A7">
      <w:pPr>
        <w:rPr>
          <w:rFonts w:cs="Arial"/>
          <w:b/>
          <w:color w:val="000000"/>
          <w:sz w:val="24"/>
          <w:szCs w:val="26"/>
        </w:rPr>
      </w:pPr>
    </w:p>
    <w:p w14:paraId="789E4803" w14:textId="77777777" w:rsidR="00133A63" w:rsidRPr="00A4252C" w:rsidRDefault="00133A63">
      <w:pPr>
        <w:spacing w:after="0"/>
        <w:jc w:val="left"/>
        <w:rPr>
          <w:rFonts w:cs="Arial"/>
          <w:b/>
          <w:color w:val="000000"/>
          <w:sz w:val="24"/>
          <w:szCs w:val="26"/>
        </w:rPr>
      </w:pPr>
      <w:r w:rsidRPr="00A4252C">
        <w:rPr>
          <w:rFonts w:cs="Arial"/>
          <w:b/>
          <w:color w:val="000000"/>
          <w:sz w:val="24"/>
          <w:szCs w:val="26"/>
        </w:rPr>
        <w:br w:type="page"/>
      </w:r>
    </w:p>
    <w:p w14:paraId="26054E4C" w14:textId="77777777" w:rsidR="004176C3" w:rsidRPr="00A4252C" w:rsidRDefault="004176C3" w:rsidP="005B20A7">
      <w:pPr>
        <w:rPr>
          <w:rFonts w:ascii="Arial Narrow" w:hAnsi="Arial Narrow" w:cs="Arial"/>
          <w:b/>
          <w:caps/>
          <w:color w:val="17365D"/>
          <w:kern w:val="28"/>
        </w:rPr>
      </w:pPr>
      <w:r w:rsidRPr="00A4252C">
        <w:rPr>
          <w:rFonts w:ascii="Arial Narrow" w:hAnsi="Arial Narrow" w:cs="Arial"/>
          <w:b/>
          <w:caps/>
          <w:color w:val="17365D"/>
          <w:kern w:val="28"/>
        </w:rPr>
        <w:lastRenderedPageBreak/>
        <w:t xml:space="preserve">Prospetto 2. </w:t>
      </w:r>
      <w:r w:rsidRPr="00A4252C">
        <w:rPr>
          <w:rFonts w:ascii="Arial Narrow" w:hAnsi="Arial Narrow" w:cs="Arial"/>
          <w:b/>
          <w:color w:val="17365D"/>
          <w:kern w:val="28"/>
        </w:rPr>
        <w:t>CARATTERISTICHE PRINCIPALI DELLE FONTI ORIGINALI DEI DATI SULL’OCCUPAZIONE</w:t>
      </w:r>
    </w:p>
    <w:tbl>
      <w:tblPr>
        <w:tblW w:w="9645"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A0" w:firstRow="1" w:lastRow="0" w:firstColumn="1" w:lastColumn="0" w:noHBand="0" w:noVBand="0"/>
      </w:tblPr>
      <w:tblGrid>
        <w:gridCol w:w="4406"/>
        <w:gridCol w:w="691"/>
        <w:gridCol w:w="964"/>
        <w:gridCol w:w="965"/>
        <w:gridCol w:w="850"/>
        <w:gridCol w:w="850"/>
        <w:gridCol w:w="919"/>
      </w:tblGrid>
      <w:tr w:rsidR="004176C3" w:rsidRPr="00A4252C" w14:paraId="03934237" w14:textId="77777777" w:rsidTr="001C1CA3">
        <w:trPr>
          <w:trHeight w:val="255"/>
        </w:trPr>
        <w:tc>
          <w:tcPr>
            <w:tcW w:w="4551" w:type="dxa"/>
            <w:vAlign w:val="center"/>
          </w:tcPr>
          <w:p w14:paraId="34997002" w14:textId="6B3D8722" w:rsidR="004176C3" w:rsidRPr="00A4252C" w:rsidRDefault="004176C3" w:rsidP="001D035B">
            <w:pPr>
              <w:spacing w:after="0"/>
              <w:rPr>
                <w:rFonts w:ascii="Arial Narrow" w:hAnsi="Arial Narrow"/>
                <w:sz w:val="16"/>
                <w:szCs w:val="16"/>
                <w:lang w:eastAsia="it-IT"/>
              </w:rPr>
            </w:pPr>
          </w:p>
        </w:tc>
        <w:tc>
          <w:tcPr>
            <w:tcW w:w="709" w:type="dxa"/>
            <w:vAlign w:val="center"/>
          </w:tcPr>
          <w:p w14:paraId="7D6AD19E" w14:textId="77777777" w:rsidR="004176C3" w:rsidRPr="00A4252C" w:rsidRDefault="004176C3" w:rsidP="008B7C55">
            <w:pPr>
              <w:spacing w:after="0"/>
              <w:ind w:left="-86"/>
              <w:jc w:val="center"/>
              <w:rPr>
                <w:rFonts w:ascii="Arial Narrow" w:hAnsi="Arial Narrow"/>
                <w:b/>
                <w:sz w:val="16"/>
                <w:szCs w:val="16"/>
                <w:lang w:eastAsia="it-IT"/>
              </w:rPr>
            </w:pPr>
            <w:r w:rsidRPr="00A4252C">
              <w:rPr>
                <w:rFonts w:ascii="Arial Narrow" w:hAnsi="Arial Narrow"/>
                <w:b/>
                <w:sz w:val="16"/>
                <w:szCs w:val="16"/>
                <w:lang w:eastAsia="it-IT"/>
              </w:rPr>
              <w:t>Mlps- Sisco</w:t>
            </w:r>
          </w:p>
        </w:tc>
        <w:tc>
          <w:tcPr>
            <w:tcW w:w="992" w:type="dxa"/>
            <w:vAlign w:val="center"/>
          </w:tcPr>
          <w:p w14:paraId="05F892E3" w14:textId="77777777" w:rsidR="004176C3" w:rsidRPr="00A4252C" w:rsidRDefault="004176C3" w:rsidP="008B7C55">
            <w:pPr>
              <w:spacing w:after="0"/>
              <w:ind w:left="-93" w:right="-23"/>
              <w:jc w:val="center"/>
              <w:rPr>
                <w:rFonts w:ascii="Arial Narrow" w:hAnsi="Arial Narrow"/>
                <w:b/>
                <w:sz w:val="16"/>
                <w:szCs w:val="16"/>
                <w:lang w:eastAsia="it-IT"/>
              </w:rPr>
            </w:pPr>
            <w:r w:rsidRPr="00A4252C">
              <w:rPr>
                <w:rFonts w:ascii="Arial Narrow" w:hAnsi="Arial Narrow"/>
                <w:b/>
                <w:sz w:val="16"/>
                <w:szCs w:val="16"/>
                <w:lang w:eastAsia="it-IT"/>
              </w:rPr>
              <w:t>Inps- Osservatorio precariato</w:t>
            </w:r>
          </w:p>
        </w:tc>
        <w:tc>
          <w:tcPr>
            <w:tcW w:w="993" w:type="dxa"/>
            <w:vAlign w:val="center"/>
          </w:tcPr>
          <w:p w14:paraId="2C27C4F0" w14:textId="77777777" w:rsidR="004176C3" w:rsidRPr="00A4252C" w:rsidRDefault="004176C3" w:rsidP="008B7C55">
            <w:pPr>
              <w:spacing w:after="0"/>
              <w:ind w:left="-117" w:right="-142"/>
              <w:jc w:val="center"/>
              <w:rPr>
                <w:rFonts w:ascii="Arial Narrow" w:hAnsi="Arial Narrow"/>
                <w:b/>
                <w:sz w:val="16"/>
                <w:szCs w:val="16"/>
                <w:lang w:eastAsia="it-IT"/>
              </w:rPr>
            </w:pPr>
            <w:r w:rsidRPr="00A4252C">
              <w:rPr>
                <w:rFonts w:ascii="Arial Narrow" w:hAnsi="Arial Narrow"/>
                <w:b/>
                <w:sz w:val="16"/>
                <w:szCs w:val="16"/>
                <w:lang w:eastAsia="it-IT"/>
              </w:rPr>
              <w:t>Inps- osservatorio lavoro accessorio</w:t>
            </w:r>
          </w:p>
        </w:tc>
        <w:tc>
          <w:tcPr>
            <w:tcW w:w="874" w:type="dxa"/>
            <w:vAlign w:val="center"/>
          </w:tcPr>
          <w:p w14:paraId="0CBB070E" w14:textId="77777777" w:rsidR="004176C3" w:rsidRPr="00A4252C" w:rsidRDefault="004176C3" w:rsidP="008B7C55">
            <w:pPr>
              <w:spacing w:after="0"/>
              <w:ind w:left="-353" w:right="-118" w:firstLine="353"/>
              <w:jc w:val="center"/>
              <w:rPr>
                <w:rFonts w:ascii="Arial Narrow" w:hAnsi="Arial Narrow"/>
                <w:b/>
                <w:sz w:val="16"/>
                <w:szCs w:val="16"/>
                <w:lang w:eastAsia="it-IT"/>
              </w:rPr>
            </w:pPr>
            <w:r w:rsidRPr="00A4252C">
              <w:rPr>
                <w:rFonts w:ascii="Arial Narrow" w:hAnsi="Arial Narrow"/>
                <w:b/>
                <w:sz w:val="16"/>
                <w:szCs w:val="16"/>
                <w:lang w:eastAsia="it-IT"/>
              </w:rPr>
              <w:t>Istat-Rfl</w:t>
            </w:r>
          </w:p>
        </w:tc>
        <w:tc>
          <w:tcPr>
            <w:tcW w:w="874" w:type="dxa"/>
            <w:vAlign w:val="center"/>
          </w:tcPr>
          <w:p w14:paraId="7E0A4BB8" w14:textId="77777777" w:rsidR="004176C3" w:rsidRPr="00A4252C" w:rsidRDefault="004176C3" w:rsidP="008B7C55">
            <w:pPr>
              <w:spacing w:after="0"/>
              <w:ind w:left="-353" w:firstLine="353"/>
              <w:jc w:val="center"/>
              <w:rPr>
                <w:rFonts w:ascii="Arial Narrow" w:hAnsi="Arial Narrow"/>
                <w:b/>
                <w:sz w:val="16"/>
                <w:szCs w:val="16"/>
                <w:lang w:eastAsia="it-IT"/>
              </w:rPr>
            </w:pPr>
            <w:r w:rsidRPr="00A4252C">
              <w:rPr>
                <w:rFonts w:ascii="Arial Narrow" w:hAnsi="Arial Narrow"/>
                <w:b/>
                <w:sz w:val="16"/>
                <w:szCs w:val="16"/>
                <w:lang w:eastAsia="it-IT"/>
              </w:rPr>
              <w:t>Istat-Oros</w:t>
            </w:r>
          </w:p>
        </w:tc>
        <w:tc>
          <w:tcPr>
            <w:tcW w:w="945" w:type="dxa"/>
            <w:vAlign w:val="center"/>
          </w:tcPr>
          <w:p w14:paraId="6C07D56A" w14:textId="77777777" w:rsidR="004176C3" w:rsidRPr="00A4252C" w:rsidRDefault="004176C3" w:rsidP="008B7C55">
            <w:pPr>
              <w:spacing w:after="0"/>
              <w:ind w:left="-353" w:firstLine="353"/>
              <w:jc w:val="center"/>
              <w:rPr>
                <w:rFonts w:ascii="Arial Narrow" w:hAnsi="Arial Narrow"/>
                <w:b/>
                <w:sz w:val="16"/>
                <w:szCs w:val="16"/>
                <w:lang w:eastAsia="it-IT"/>
              </w:rPr>
            </w:pPr>
            <w:r w:rsidRPr="00A4252C">
              <w:rPr>
                <w:rFonts w:ascii="Arial Narrow" w:hAnsi="Arial Narrow"/>
                <w:b/>
                <w:sz w:val="16"/>
                <w:szCs w:val="16"/>
                <w:lang w:eastAsia="it-IT"/>
              </w:rPr>
              <w:t>Istat-CN</w:t>
            </w:r>
          </w:p>
        </w:tc>
      </w:tr>
      <w:tr w:rsidR="004176C3" w:rsidRPr="00A4252C" w14:paraId="66E36297" w14:textId="77777777" w:rsidTr="001C1CA3">
        <w:trPr>
          <w:trHeight w:val="255"/>
        </w:trPr>
        <w:tc>
          <w:tcPr>
            <w:tcW w:w="4551" w:type="dxa"/>
            <w:shd w:val="clear" w:color="auto" w:fill="17365D"/>
            <w:vAlign w:val="center"/>
          </w:tcPr>
          <w:p w14:paraId="435FF173" w14:textId="77777777" w:rsidR="004176C3" w:rsidRPr="00A4252C" w:rsidRDefault="004176C3" w:rsidP="001D035B">
            <w:pPr>
              <w:spacing w:after="0"/>
              <w:rPr>
                <w:rFonts w:ascii="Arial Narrow" w:hAnsi="Arial Narrow"/>
                <w:b/>
                <w:bCs/>
                <w:color w:val="FFFFFF"/>
                <w:sz w:val="16"/>
                <w:szCs w:val="16"/>
                <w:lang w:eastAsia="it-IT"/>
              </w:rPr>
            </w:pPr>
            <w:r w:rsidRPr="00A4252C">
              <w:rPr>
                <w:rFonts w:ascii="Arial Narrow" w:hAnsi="Arial Narrow"/>
                <w:b/>
                <w:bCs/>
                <w:color w:val="FFFFFF"/>
                <w:sz w:val="16"/>
                <w:szCs w:val="16"/>
                <w:lang w:eastAsia="it-IT"/>
              </w:rPr>
              <w:t>Tipologia di fonte</w:t>
            </w:r>
          </w:p>
        </w:tc>
        <w:tc>
          <w:tcPr>
            <w:tcW w:w="709" w:type="dxa"/>
            <w:shd w:val="clear" w:color="auto" w:fill="17365D"/>
            <w:vAlign w:val="center"/>
          </w:tcPr>
          <w:p w14:paraId="52BEAED4" w14:textId="77777777" w:rsidR="004176C3" w:rsidRPr="00A4252C" w:rsidRDefault="004176C3" w:rsidP="008B7C55">
            <w:pPr>
              <w:spacing w:after="0"/>
              <w:ind w:left="-86"/>
              <w:jc w:val="center"/>
              <w:rPr>
                <w:rFonts w:ascii="Arial Narrow" w:hAnsi="Arial Narrow"/>
                <w:color w:val="FFFFFF"/>
                <w:sz w:val="16"/>
                <w:szCs w:val="16"/>
                <w:lang w:eastAsia="it-IT"/>
              </w:rPr>
            </w:pPr>
            <w:r w:rsidRPr="00A4252C">
              <w:rPr>
                <w:rFonts w:ascii="Arial Narrow" w:hAnsi="Arial Narrow"/>
                <w:color w:val="FFFFFF"/>
                <w:sz w:val="16"/>
                <w:szCs w:val="16"/>
                <w:lang w:eastAsia="it-IT"/>
              </w:rPr>
              <w:t> </w:t>
            </w:r>
          </w:p>
        </w:tc>
        <w:tc>
          <w:tcPr>
            <w:tcW w:w="992" w:type="dxa"/>
            <w:shd w:val="clear" w:color="auto" w:fill="17365D"/>
            <w:vAlign w:val="center"/>
          </w:tcPr>
          <w:p w14:paraId="7845E3FD" w14:textId="77777777" w:rsidR="004176C3" w:rsidRPr="00A4252C" w:rsidRDefault="004176C3" w:rsidP="008B7C55">
            <w:pPr>
              <w:spacing w:after="0"/>
              <w:ind w:left="-353" w:firstLine="353"/>
              <w:jc w:val="center"/>
              <w:rPr>
                <w:rFonts w:ascii="Arial Narrow" w:hAnsi="Arial Narrow"/>
                <w:color w:val="FFFFFF"/>
                <w:sz w:val="16"/>
                <w:szCs w:val="16"/>
                <w:lang w:eastAsia="it-IT"/>
              </w:rPr>
            </w:pPr>
            <w:r w:rsidRPr="00A4252C">
              <w:rPr>
                <w:rFonts w:ascii="Arial Narrow" w:hAnsi="Arial Narrow"/>
                <w:color w:val="FFFFFF"/>
                <w:sz w:val="16"/>
                <w:szCs w:val="16"/>
                <w:lang w:eastAsia="it-IT"/>
              </w:rPr>
              <w:t> </w:t>
            </w:r>
          </w:p>
        </w:tc>
        <w:tc>
          <w:tcPr>
            <w:tcW w:w="993" w:type="dxa"/>
            <w:shd w:val="clear" w:color="auto" w:fill="17365D"/>
            <w:vAlign w:val="center"/>
          </w:tcPr>
          <w:p w14:paraId="2C484D1C" w14:textId="77777777" w:rsidR="004176C3" w:rsidRPr="00A4252C" w:rsidRDefault="004176C3" w:rsidP="008B7C55">
            <w:pPr>
              <w:spacing w:after="0"/>
              <w:ind w:left="-353" w:firstLine="353"/>
              <w:jc w:val="center"/>
              <w:rPr>
                <w:rFonts w:ascii="Arial Narrow" w:hAnsi="Arial Narrow"/>
                <w:color w:val="FFFFFF"/>
                <w:sz w:val="16"/>
                <w:szCs w:val="16"/>
                <w:lang w:eastAsia="it-IT"/>
              </w:rPr>
            </w:pPr>
            <w:r w:rsidRPr="00A4252C">
              <w:rPr>
                <w:rFonts w:ascii="Arial Narrow" w:hAnsi="Arial Narrow"/>
                <w:color w:val="FFFFFF"/>
                <w:sz w:val="16"/>
                <w:szCs w:val="16"/>
                <w:lang w:eastAsia="it-IT"/>
              </w:rPr>
              <w:t> </w:t>
            </w:r>
          </w:p>
        </w:tc>
        <w:tc>
          <w:tcPr>
            <w:tcW w:w="874" w:type="dxa"/>
            <w:shd w:val="clear" w:color="auto" w:fill="17365D"/>
            <w:vAlign w:val="center"/>
          </w:tcPr>
          <w:p w14:paraId="6CC2E9BC" w14:textId="77777777" w:rsidR="004176C3" w:rsidRPr="00A4252C" w:rsidRDefault="004176C3" w:rsidP="008B7C55">
            <w:pPr>
              <w:spacing w:after="0"/>
              <w:ind w:left="-353" w:firstLine="353"/>
              <w:jc w:val="center"/>
              <w:rPr>
                <w:rFonts w:ascii="Arial Narrow" w:hAnsi="Arial Narrow"/>
                <w:color w:val="FFFFFF"/>
                <w:sz w:val="16"/>
                <w:szCs w:val="16"/>
                <w:lang w:eastAsia="it-IT"/>
              </w:rPr>
            </w:pPr>
            <w:r w:rsidRPr="00A4252C">
              <w:rPr>
                <w:rFonts w:ascii="Arial Narrow" w:hAnsi="Arial Narrow"/>
                <w:color w:val="FFFFFF"/>
                <w:sz w:val="16"/>
                <w:szCs w:val="16"/>
                <w:lang w:eastAsia="it-IT"/>
              </w:rPr>
              <w:t> </w:t>
            </w:r>
          </w:p>
        </w:tc>
        <w:tc>
          <w:tcPr>
            <w:tcW w:w="874" w:type="dxa"/>
            <w:shd w:val="clear" w:color="auto" w:fill="17365D"/>
            <w:vAlign w:val="center"/>
          </w:tcPr>
          <w:p w14:paraId="0C8DC4D7" w14:textId="77777777" w:rsidR="004176C3" w:rsidRPr="00A4252C" w:rsidRDefault="004176C3" w:rsidP="008B7C55">
            <w:pPr>
              <w:spacing w:after="0"/>
              <w:ind w:left="-353" w:firstLine="353"/>
              <w:jc w:val="center"/>
              <w:rPr>
                <w:rFonts w:ascii="Arial Narrow" w:hAnsi="Arial Narrow"/>
                <w:color w:val="FFFFFF"/>
                <w:sz w:val="16"/>
                <w:szCs w:val="16"/>
                <w:lang w:eastAsia="it-IT"/>
              </w:rPr>
            </w:pPr>
            <w:r w:rsidRPr="00A4252C">
              <w:rPr>
                <w:rFonts w:ascii="Arial Narrow" w:hAnsi="Arial Narrow"/>
                <w:color w:val="FFFFFF"/>
                <w:sz w:val="16"/>
                <w:szCs w:val="16"/>
                <w:lang w:eastAsia="it-IT"/>
              </w:rPr>
              <w:t> </w:t>
            </w:r>
          </w:p>
        </w:tc>
        <w:tc>
          <w:tcPr>
            <w:tcW w:w="945" w:type="dxa"/>
            <w:shd w:val="clear" w:color="auto" w:fill="17365D"/>
            <w:vAlign w:val="center"/>
          </w:tcPr>
          <w:p w14:paraId="35C5232E" w14:textId="77777777" w:rsidR="004176C3" w:rsidRPr="00A4252C" w:rsidRDefault="004176C3" w:rsidP="008B7C55">
            <w:pPr>
              <w:spacing w:after="0"/>
              <w:ind w:left="-353" w:firstLine="353"/>
              <w:jc w:val="center"/>
              <w:rPr>
                <w:rFonts w:ascii="Arial Narrow" w:hAnsi="Arial Narrow"/>
                <w:color w:val="FFFFFF"/>
                <w:sz w:val="16"/>
                <w:szCs w:val="16"/>
                <w:lang w:eastAsia="it-IT"/>
              </w:rPr>
            </w:pPr>
            <w:r w:rsidRPr="00A4252C">
              <w:rPr>
                <w:rFonts w:ascii="Arial Narrow" w:hAnsi="Arial Narrow"/>
                <w:color w:val="FFFFFF"/>
                <w:sz w:val="16"/>
                <w:szCs w:val="16"/>
                <w:lang w:eastAsia="it-IT"/>
              </w:rPr>
              <w:t> </w:t>
            </w:r>
          </w:p>
        </w:tc>
      </w:tr>
      <w:tr w:rsidR="004176C3" w:rsidRPr="00A4252C" w14:paraId="6B7C8F3F" w14:textId="77777777" w:rsidTr="001C1CA3">
        <w:trPr>
          <w:trHeight w:val="255"/>
        </w:trPr>
        <w:tc>
          <w:tcPr>
            <w:tcW w:w="4551" w:type="dxa"/>
            <w:vAlign w:val="center"/>
          </w:tcPr>
          <w:p w14:paraId="3C4A349D"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Amministrativa</w:t>
            </w:r>
          </w:p>
        </w:tc>
        <w:tc>
          <w:tcPr>
            <w:tcW w:w="709" w:type="dxa"/>
            <w:shd w:val="clear" w:color="auto" w:fill="F2F2F2"/>
            <w:vAlign w:val="center"/>
          </w:tcPr>
          <w:p w14:paraId="05D14B3F"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49406C0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477E297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4E09353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524B2BF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28E16F6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3F798C72" w14:textId="77777777" w:rsidTr="001C1CA3">
        <w:trPr>
          <w:trHeight w:val="255"/>
        </w:trPr>
        <w:tc>
          <w:tcPr>
            <w:tcW w:w="4551" w:type="dxa"/>
            <w:vAlign w:val="center"/>
          </w:tcPr>
          <w:p w14:paraId="24905E3F"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Rilevazione campionaria</w:t>
            </w:r>
          </w:p>
        </w:tc>
        <w:tc>
          <w:tcPr>
            <w:tcW w:w="709" w:type="dxa"/>
            <w:shd w:val="clear" w:color="auto" w:fill="F2F2F2"/>
            <w:vAlign w:val="center"/>
          </w:tcPr>
          <w:p w14:paraId="517C6230"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2BCFBA5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5B2C221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4725F7E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16A3F6F8" w14:textId="77777777" w:rsidR="004176C3" w:rsidRPr="00A4252C" w:rsidRDefault="004176C3" w:rsidP="008B7C55">
            <w:pPr>
              <w:spacing w:after="0"/>
              <w:ind w:left="-353" w:firstLine="353"/>
              <w:jc w:val="center"/>
              <w:rPr>
                <w:rFonts w:ascii="Arial Narrow" w:hAnsi="Arial Narrow"/>
                <w:sz w:val="16"/>
                <w:szCs w:val="16"/>
                <w:lang w:eastAsia="it-IT"/>
              </w:rPr>
            </w:pPr>
          </w:p>
        </w:tc>
        <w:tc>
          <w:tcPr>
            <w:tcW w:w="945" w:type="dxa"/>
            <w:vAlign w:val="center"/>
          </w:tcPr>
          <w:p w14:paraId="2B46355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24971FB6" w14:textId="77777777" w:rsidTr="001C1CA3">
        <w:trPr>
          <w:trHeight w:val="255"/>
        </w:trPr>
        <w:tc>
          <w:tcPr>
            <w:tcW w:w="4551" w:type="dxa"/>
            <w:vAlign w:val="center"/>
          </w:tcPr>
          <w:p w14:paraId="350DC795"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Rilevazione censuaria</w:t>
            </w:r>
          </w:p>
        </w:tc>
        <w:tc>
          <w:tcPr>
            <w:tcW w:w="709" w:type="dxa"/>
            <w:shd w:val="clear" w:color="auto" w:fill="F2F2F2"/>
            <w:vAlign w:val="center"/>
          </w:tcPr>
          <w:p w14:paraId="6CAE749F"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7BBCDB4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734A1F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59352CC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6802EDA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536353E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7EAF267E" w14:textId="77777777" w:rsidTr="001C1CA3">
        <w:trPr>
          <w:trHeight w:val="255"/>
        </w:trPr>
        <w:tc>
          <w:tcPr>
            <w:tcW w:w="4551" w:type="dxa"/>
            <w:vAlign w:val="center"/>
          </w:tcPr>
          <w:p w14:paraId="54A84B94"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Elaborazioni statistiche sulla base di fonti integrate</w:t>
            </w:r>
          </w:p>
        </w:tc>
        <w:tc>
          <w:tcPr>
            <w:tcW w:w="709" w:type="dxa"/>
            <w:shd w:val="clear" w:color="auto" w:fill="F2F2F2"/>
            <w:vAlign w:val="center"/>
          </w:tcPr>
          <w:p w14:paraId="57684B06"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5713125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1B3D32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3AB7309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20CFF30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64AA91F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3FB9DBAE" w14:textId="77777777" w:rsidTr="001C1CA3">
        <w:trPr>
          <w:trHeight w:val="255"/>
        </w:trPr>
        <w:tc>
          <w:tcPr>
            <w:tcW w:w="4551" w:type="dxa"/>
            <w:shd w:val="clear" w:color="auto" w:fill="17365D"/>
            <w:vAlign w:val="center"/>
          </w:tcPr>
          <w:p w14:paraId="2064A796" w14:textId="77777777" w:rsidR="004176C3" w:rsidRPr="00A4252C" w:rsidRDefault="004176C3" w:rsidP="001D035B">
            <w:pPr>
              <w:spacing w:after="0"/>
              <w:rPr>
                <w:rFonts w:ascii="Arial Narrow" w:hAnsi="Arial Narrow"/>
                <w:b/>
                <w:bCs/>
                <w:sz w:val="16"/>
                <w:szCs w:val="16"/>
                <w:lang w:eastAsia="it-IT"/>
              </w:rPr>
            </w:pPr>
            <w:r w:rsidRPr="00A4252C">
              <w:rPr>
                <w:rFonts w:ascii="Arial Narrow" w:hAnsi="Arial Narrow"/>
                <w:b/>
                <w:bCs/>
                <w:sz w:val="16"/>
                <w:szCs w:val="16"/>
                <w:lang w:eastAsia="it-IT"/>
              </w:rPr>
              <w:t>Unità di rilevazione/Soggetti obbligati alla fornitura dei dati</w:t>
            </w:r>
          </w:p>
        </w:tc>
        <w:tc>
          <w:tcPr>
            <w:tcW w:w="709" w:type="dxa"/>
            <w:shd w:val="clear" w:color="auto" w:fill="17365D"/>
            <w:vAlign w:val="center"/>
          </w:tcPr>
          <w:p w14:paraId="507DEA0D"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shd w:val="clear" w:color="auto" w:fill="17365D"/>
            <w:vAlign w:val="center"/>
          </w:tcPr>
          <w:p w14:paraId="0988D64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17365D"/>
            <w:vAlign w:val="center"/>
          </w:tcPr>
          <w:p w14:paraId="61914EA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17365D"/>
            <w:vAlign w:val="center"/>
          </w:tcPr>
          <w:p w14:paraId="1E83A6A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17365D"/>
            <w:vAlign w:val="center"/>
          </w:tcPr>
          <w:p w14:paraId="3B9E094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shd w:val="clear" w:color="auto" w:fill="17365D"/>
            <w:vAlign w:val="center"/>
          </w:tcPr>
          <w:p w14:paraId="38D7894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3022DDF6" w14:textId="77777777" w:rsidTr="001C1CA3">
        <w:trPr>
          <w:trHeight w:val="255"/>
        </w:trPr>
        <w:tc>
          <w:tcPr>
            <w:tcW w:w="4551" w:type="dxa"/>
            <w:shd w:val="clear" w:color="auto" w:fill="FFFFFF"/>
            <w:vAlign w:val="center"/>
          </w:tcPr>
          <w:p w14:paraId="582D8437" w14:textId="77777777" w:rsidR="004176C3" w:rsidRPr="00A4252C" w:rsidRDefault="004176C3" w:rsidP="001D035B">
            <w:pPr>
              <w:spacing w:after="0"/>
              <w:rPr>
                <w:rFonts w:ascii="Arial Narrow" w:hAnsi="Arial Narrow"/>
                <w:b/>
                <w:bCs/>
                <w:i/>
                <w:iCs/>
                <w:sz w:val="16"/>
                <w:szCs w:val="16"/>
                <w:lang w:eastAsia="it-IT"/>
              </w:rPr>
            </w:pPr>
            <w:r w:rsidRPr="00A4252C">
              <w:rPr>
                <w:rFonts w:ascii="Arial Narrow" w:hAnsi="Arial Narrow"/>
                <w:b/>
                <w:bCs/>
                <w:i/>
                <w:iCs/>
                <w:sz w:val="16"/>
                <w:szCs w:val="16"/>
                <w:lang w:eastAsia="it-IT"/>
              </w:rPr>
              <w:t>Domanda</w:t>
            </w:r>
          </w:p>
        </w:tc>
        <w:tc>
          <w:tcPr>
            <w:tcW w:w="709" w:type="dxa"/>
            <w:shd w:val="clear" w:color="auto" w:fill="FFFFFF"/>
            <w:vAlign w:val="center"/>
          </w:tcPr>
          <w:p w14:paraId="6536224C"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shd w:val="clear" w:color="auto" w:fill="FFFFFF"/>
            <w:vAlign w:val="center"/>
          </w:tcPr>
          <w:p w14:paraId="68CEA22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FFFFF"/>
            <w:vAlign w:val="center"/>
          </w:tcPr>
          <w:p w14:paraId="5A2FF5F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FFFFF"/>
            <w:vAlign w:val="center"/>
          </w:tcPr>
          <w:p w14:paraId="7CFB838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57F1D5D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shd w:val="clear" w:color="auto" w:fill="FFFFFF"/>
            <w:vAlign w:val="center"/>
          </w:tcPr>
          <w:p w14:paraId="73A5866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6B68414B" w14:textId="77777777" w:rsidTr="001C1CA3">
        <w:trPr>
          <w:trHeight w:val="255"/>
        </w:trPr>
        <w:tc>
          <w:tcPr>
            <w:tcW w:w="4551" w:type="dxa"/>
            <w:vAlign w:val="center"/>
          </w:tcPr>
          <w:p w14:paraId="44AA029B"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Datori di lavoro privati (esclusi datori di lavoro domestico e agenzie di somministrazione)</w:t>
            </w:r>
          </w:p>
        </w:tc>
        <w:tc>
          <w:tcPr>
            <w:tcW w:w="709" w:type="dxa"/>
            <w:shd w:val="clear" w:color="auto" w:fill="F2F2F2"/>
            <w:vAlign w:val="center"/>
          </w:tcPr>
          <w:p w14:paraId="4932BEC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3ACE13F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0EE1AB2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026EB8C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6CB36F1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(a)</w:t>
            </w:r>
          </w:p>
        </w:tc>
        <w:tc>
          <w:tcPr>
            <w:tcW w:w="945" w:type="dxa"/>
            <w:vAlign w:val="center"/>
          </w:tcPr>
          <w:p w14:paraId="3AB9225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4115244C" w14:textId="77777777" w:rsidTr="001C1CA3">
        <w:trPr>
          <w:trHeight w:val="255"/>
        </w:trPr>
        <w:tc>
          <w:tcPr>
            <w:tcW w:w="4551" w:type="dxa"/>
            <w:vAlign w:val="center"/>
          </w:tcPr>
          <w:p w14:paraId="199DCF96"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Datori di lavoro domestico</w:t>
            </w:r>
          </w:p>
        </w:tc>
        <w:tc>
          <w:tcPr>
            <w:tcW w:w="709" w:type="dxa"/>
            <w:shd w:val="clear" w:color="auto" w:fill="F2F2F2"/>
            <w:vAlign w:val="center"/>
          </w:tcPr>
          <w:p w14:paraId="5631725A"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41FCBDC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808BE3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22768F7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396B6EC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69857CE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11E396DF" w14:textId="77777777" w:rsidTr="001C1CA3">
        <w:trPr>
          <w:trHeight w:val="255"/>
        </w:trPr>
        <w:tc>
          <w:tcPr>
            <w:tcW w:w="4551" w:type="dxa"/>
            <w:vAlign w:val="center"/>
          </w:tcPr>
          <w:p w14:paraId="631E5FE8"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Agenzie di somministrazione</w:t>
            </w:r>
          </w:p>
        </w:tc>
        <w:tc>
          <w:tcPr>
            <w:tcW w:w="709" w:type="dxa"/>
            <w:shd w:val="clear" w:color="auto" w:fill="F2F2F2"/>
            <w:vAlign w:val="center"/>
          </w:tcPr>
          <w:p w14:paraId="1F52417E"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31A73C1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77B821F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6DFC70C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0880416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3B5A4A5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6A031858" w14:textId="77777777" w:rsidTr="001C1CA3">
        <w:trPr>
          <w:trHeight w:val="255"/>
        </w:trPr>
        <w:tc>
          <w:tcPr>
            <w:tcW w:w="4551" w:type="dxa"/>
            <w:vAlign w:val="center"/>
          </w:tcPr>
          <w:p w14:paraId="631FAE9E"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xml:space="preserve">Pubbliche Amministrazioni </w:t>
            </w:r>
          </w:p>
        </w:tc>
        <w:tc>
          <w:tcPr>
            <w:tcW w:w="709" w:type="dxa"/>
            <w:shd w:val="clear" w:color="auto" w:fill="F2F2F2"/>
            <w:vAlign w:val="center"/>
          </w:tcPr>
          <w:p w14:paraId="517AD9C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7101CD8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(b)</w:t>
            </w:r>
          </w:p>
        </w:tc>
        <w:tc>
          <w:tcPr>
            <w:tcW w:w="993" w:type="dxa"/>
            <w:shd w:val="clear" w:color="auto" w:fill="F2F2F2"/>
            <w:vAlign w:val="center"/>
          </w:tcPr>
          <w:p w14:paraId="6D37C31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0F44F33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63329FE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282D397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0F54A153" w14:textId="77777777" w:rsidTr="001C1CA3">
        <w:trPr>
          <w:trHeight w:val="255"/>
        </w:trPr>
        <w:tc>
          <w:tcPr>
            <w:tcW w:w="4551" w:type="dxa"/>
            <w:shd w:val="clear" w:color="auto" w:fill="FFFFFF"/>
            <w:vAlign w:val="center"/>
          </w:tcPr>
          <w:p w14:paraId="13C9E10E" w14:textId="77777777" w:rsidR="004176C3" w:rsidRPr="00A4252C" w:rsidRDefault="004176C3" w:rsidP="001D035B">
            <w:pPr>
              <w:spacing w:after="0"/>
              <w:rPr>
                <w:rFonts w:ascii="Arial Narrow" w:hAnsi="Arial Narrow"/>
                <w:b/>
                <w:bCs/>
                <w:i/>
                <w:iCs/>
                <w:sz w:val="16"/>
                <w:szCs w:val="16"/>
                <w:lang w:eastAsia="it-IT"/>
              </w:rPr>
            </w:pPr>
            <w:r w:rsidRPr="00A4252C">
              <w:rPr>
                <w:rFonts w:ascii="Arial Narrow" w:hAnsi="Arial Narrow"/>
                <w:b/>
                <w:bCs/>
                <w:i/>
                <w:iCs/>
                <w:sz w:val="16"/>
                <w:szCs w:val="16"/>
                <w:lang w:eastAsia="it-IT"/>
              </w:rPr>
              <w:t>Offerta</w:t>
            </w:r>
          </w:p>
        </w:tc>
        <w:tc>
          <w:tcPr>
            <w:tcW w:w="709" w:type="dxa"/>
            <w:shd w:val="clear" w:color="auto" w:fill="F2F2F2"/>
            <w:vAlign w:val="center"/>
          </w:tcPr>
          <w:p w14:paraId="42CB9DF1"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shd w:val="clear" w:color="auto" w:fill="FFFFFF"/>
            <w:vAlign w:val="center"/>
          </w:tcPr>
          <w:p w14:paraId="187707C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2973613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FFFFF"/>
            <w:vAlign w:val="center"/>
          </w:tcPr>
          <w:p w14:paraId="4A64A29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11BD61A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shd w:val="clear" w:color="auto" w:fill="FFFFFF"/>
            <w:vAlign w:val="center"/>
          </w:tcPr>
          <w:p w14:paraId="295725D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171D1E13" w14:textId="77777777" w:rsidTr="001C1CA3">
        <w:trPr>
          <w:trHeight w:val="255"/>
        </w:trPr>
        <w:tc>
          <w:tcPr>
            <w:tcW w:w="4551" w:type="dxa"/>
            <w:vAlign w:val="center"/>
          </w:tcPr>
          <w:p w14:paraId="3CBDA14E"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Famiglie/individui</w:t>
            </w:r>
          </w:p>
        </w:tc>
        <w:tc>
          <w:tcPr>
            <w:tcW w:w="709" w:type="dxa"/>
            <w:shd w:val="clear" w:color="auto" w:fill="F2F2F2"/>
            <w:vAlign w:val="center"/>
          </w:tcPr>
          <w:p w14:paraId="51E1F0FF" w14:textId="77777777" w:rsidR="004176C3" w:rsidRPr="00A4252C" w:rsidRDefault="004176C3" w:rsidP="008B7C55">
            <w:pPr>
              <w:spacing w:after="0"/>
              <w:ind w:left="-86"/>
              <w:jc w:val="center"/>
              <w:rPr>
                <w:rFonts w:ascii="Arial Narrow" w:hAnsi="Arial Narrow"/>
                <w:sz w:val="16"/>
                <w:szCs w:val="16"/>
                <w:lang w:eastAsia="it-IT"/>
              </w:rPr>
            </w:pPr>
          </w:p>
        </w:tc>
        <w:tc>
          <w:tcPr>
            <w:tcW w:w="992" w:type="dxa"/>
            <w:vAlign w:val="center"/>
          </w:tcPr>
          <w:p w14:paraId="63E7414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39C0F892" w14:textId="77777777" w:rsidR="004176C3" w:rsidRPr="00A4252C" w:rsidRDefault="004176C3" w:rsidP="008B7C55">
            <w:pPr>
              <w:spacing w:after="0"/>
              <w:ind w:left="-353" w:firstLine="353"/>
              <w:jc w:val="center"/>
              <w:rPr>
                <w:rFonts w:ascii="Arial Narrow" w:hAnsi="Arial Narrow"/>
                <w:sz w:val="16"/>
                <w:szCs w:val="16"/>
                <w:lang w:eastAsia="it-IT"/>
              </w:rPr>
            </w:pPr>
          </w:p>
        </w:tc>
        <w:tc>
          <w:tcPr>
            <w:tcW w:w="874" w:type="dxa"/>
            <w:vAlign w:val="center"/>
          </w:tcPr>
          <w:p w14:paraId="3B0CCB7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74E6403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403A495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23E1C156" w14:textId="77777777" w:rsidTr="001C1CA3">
        <w:trPr>
          <w:trHeight w:val="255"/>
        </w:trPr>
        <w:tc>
          <w:tcPr>
            <w:tcW w:w="4551" w:type="dxa"/>
            <w:shd w:val="clear" w:color="auto" w:fill="17365D"/>
            <w:vAlign w:val="center"/>
          </w:tcPr>
          <w:p w14:paraId="53177599" w14:textId="77777777" w:rsidR="004176C3" w:rsidRPr="00A4252C" w:rsidRDefault="004176C3" w:rsidP="001D035B">
            <w:pPr>
              <w:spacing w:after="0"/>
              <w:rPr>
                <w:rFonts w:ascii="Arial Narrow" w:hAnsi="Arial Narrow"/>
                <w:b/>
                <w:bCs/>
                <w:sz w:val="16"/>
                <w:szCs w:val="16"/>
                <w:lang w:eastAsia="it-IT"/>
              </w:rPr>
            </w:pPr>
            <w:r w:rsidRPr="00A4252C">
              <w:rPr>
                <w:rFonts w:ascii="Arial Narrow" w:hAnsi="Arial Narrow"/>
                <w:b/>
                <w:bCs/>
                <w:sz w:val="16"/>
                <w:szCs w:val="16"/>
                <w:lang w:eastAsia="it-IT"/>
              </w:rPr>
              <w:t>Copertura: tipologie contrattuali</w:t>
            </w:r>
          </w:p>
        </w:tc>
        <w:tc>
          <w:tcPr>
            <w:tcW w:w="5387" w:type="dxa"/>
            <w:gridSpan w:val="6"/>
            <w:shd w:val="clear" w:color="auto" w:fill="17365D"/>
            <w:vAlign w:val="center"/>
          </w:tcPr>
          <w:p w14:paraId="46075F5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090B3AE4" w14:textId="77777777" w:rsidTr="001C1CA3">
        <w:trPr>
          <w:trHeight w:val="255"/>
        </w:trPr>
        <w:tc>
          <w:tcPr>
            <w:tcW w:w="4551" w:type="dxa"/>
            <w:vAlign w:val="center"/>
          </w:tcPr>
          <w:p w14:paraId="26C2B837"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Lavoro indipendente</w:t>
            </w:r>
          </w:p>
        </w:tc>
        <w:tc>
          <w:tcPr>
            <w:tcW w:w="709" w:type="dxa"/>
            <w:shd w:val="clear" w:color="auto" w:fill="F2F2F2"/>
            <w:vAlign w:val="center"/>
          </w:tcPr>
          <w:p w14:paraId="1721E3C2"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0A2B51C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3AED4A5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3C4A8A0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129F24B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7E511E7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4AE00863" w14:textId="77777777" w:rsidTr="001C1CA3">
        <w:trPr>
          <w:trHeight w:val="255"/>
        </w:trPr>
        <w:tc>
          <w:tcPr>
            <w:tcW w:w="4551" w:type="dxa"/>
            <w:shd w:val="clear" w:color="000000" w:fill="FFFFFF"/>
            <w:vAlign w:val="center"/>
          </w:tcPr>
          <w:p w14:paraId="0EDEE704"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Lavoro parasubordinato</w:t>
            </w:r>
          </w:p>
        </w:tc>
        <w:tc>
          <w:tcPr>
            <w:tcW w:w="709" w:type="dxa"/>
            <w:shd w:val="clear" w:color="auto" w:fill="F2F2F2"/>
            <w:vAlign w:val="center"/>
          </w:tcPr>
          <w:p w14:paraId="1851420C"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005F85A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6B9803F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41DD8EA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6BB55B4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277B93C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66B2DC89" w14:textId="77777777" w:rsidTr="001C1CA3">
        <w:trPr>
          <w:trHeight w:val="255"/>
        </w:trPr>
        <w:tc>
          <w:tcPr>
            <w:tcW w:w="4551" w:type="dxa"/>
            <w:vAlign w:val="center"/>
          </w:tcPr>
          <w:p w14:paraId="0FAE9D6D"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Lavoro dipendente settore pubblico</w:t>
            </w:r>
          </w:p>
        </w:tc>
        <w:tc>
          <w:tcPr>
            <w:tcW w:w="709" w:type="dxa"/>
            <w:shd w:val="clear" w:color="auto" w:fill="F2F2F2"/>
            <w:vAlign w:val="center"/>
          </w:tcPr>
          <w:p w14:paraId="38DA21CF"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234FD96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(b)</w:t>
            </w:r>
          </w:p>
        </w:tc>
        <w:tc>
          <w:tcPr>
            <w:tcW w:w="993" w:type="dxa"/>
            <w:shd w:val="clear" w:color="auto" w:fill="F2F2F2"/>
            <w:vAlign w:val="center"/>
          </w:tcPr>
          <w:p w14:paraId="4954A1D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4ED1388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4B7360B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245186F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2F30166D" w14:textId="77777777" w:rsidTr="001C1CA3">
        <w:trPr>
          <w:trHeight w:val="255"/>
        </w:trPr>
        <w:tc>
          <w:tcPr>
            <w:tcW w:w="4551" w:type="dxa"/>
            <w:vAlign w:val="center"/>
          </w:tcPr>
          <w:p w14:paraId="76C35FD0"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Lavoro dipendente settore privato (esclusi operai agricoli, domestico e somministrazione)</w:t>
            </w:r>
          </w:p>
        </w:tc>
        <w:tc>
          <w:tcPr>
            <w:tcW w:w="709" w:type="dxa"/>
            <w:shd w:val="clear" w:color="auto" w:fill="F2F2F2"/>
            <w:vAlign w:val="center"/>
          </w:tcPr>
          <w:p w14:paraId="403FABEB"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65B32BD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25A6A0C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0473479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558F30E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(c)</w:t>
            </w:r>
          </w:p>
        </w:tc>
        <w:tc>
          <w:tcPr>
            <w:tcW w:w="945" w:type="dxa"/>
            <w:vAlign w:val="center"/>
          </w:tcPr>
          <w:p w14:paraId="7153996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4A724C20" w14:textId="77777777" w:rsidTr="001C1CA3">
        <w:trPr>
          <w:trHeight w:val="255"/>
        </w:trPr>
        <w:tc>
          <w:tcPr>
            <w:tcW w:w="4551" w:type="dxa"/>
            <w:vAlign w:val="center"/>
          </w:tcPr>
          <w:p w14:paraId="62D9148F"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Operai agricoli</w:t>
            </w:r>
          </w:p>
        </w:tc>
        <w:tc>
          <w:tcPr>
            <w:tcW w:w="709" w:type="dxa"/>
            <w:shd w:val="clear" w:color="auto" w:fill="F2F2F2"/>
            <w:vAlign w:val="center"/>
          </w:tcPr>
          <w:p w14:paraId="3CF69E4C"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5C23961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5C429B7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025328A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4B4A80C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043A44E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65F9C218" w14:textId="77777777" w:rsidTr="001C1CA3">
        <w:trPr>
          <w:trHeight w:val="255"/>
        </w:trPr>
        <w:tc>
          <w:tcPr>
            <w:tcW w:w="4551" w:type="dxa"/>
            <w:vAlign w:val="center"/>
          </w:tcPr>
          <w:p w14:paraId="1DDF4B48"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Lavoro domestico</w:t>
            </w:r>
          </w:p>
        </w:tc>
        <w:tc>
          <w:tcPr>
            <w:tcW w:w="709" w:type="dxa"/>
            <w:shd w:val="clear" w:color="auto" w:fill="F2F2F2"/>
            <w:vAlign w:val="center"/>
          </w:tcPr>
          <w:p w14:paraId="1A57D2F7"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3644FDF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0FD0857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4D9DD73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3B5530E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4E42711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3F88C1D5" w14:textId="77777777" w:rsidTr="001C1CA3">
        <w:trPr>
          <w:trHeight w:val="255"/>
        </w:trPr>
        <w:tc>
          <w:tcPr>
            <w:tcW w:w="4551" w:type="dxa"/>
            <w:vAlign w:val="center"/>
          </w:tcPr>
          <w:p w14:paraId="3997EFC8"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Lavoro in somministrazione</w:t>
            </w:r>
          </w:p>
        </w:tc>
        <w:tc>
          <w:tcPr>
            <w:tcW w:w="709" w:type="dxa"/>
            <w:shd w:val="clear" w:color="auto" w:fill="F2F2F2"/>
            <w:vAlign w:val="center"/>
          </w:tcPr>
          <w:p w14:paraId="14D69610"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0747A57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62A30B1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23EE255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021A365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42A498D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3353C8C7" w14:textId="77777777" w:rsidTr="001C1CA3">
        <w:trPr>
          <w:trHeight w:val="255"/>
        </w:trPr>
        <w:tc>
          <w:tcPr>
            <w:tcW w:w="4551" w:type="dxa"/>
            <w:shd w:val="clear" w:color="000000" w:fill="FFFFFF"/>
            <w:vAlign w:val="center"/>
          </w:tcPr>
          <w:p w14:paraId="7C80E2AA"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Lavoro accessorio (voucher)</w:t>
            </w:r>
          </w:p>
        </w:tc>
        <w:tc>
          <w:tcPr>
            <w:tcW w:w="709" w:type="dxa"/>
            <w:shd w:val="clear" w:color="auto" w:fill="F2F2F2"/>
            <w:vAlign w:val="center"/>
          </w:tcPr>
          <w:p w14:paraId="77848F3D"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3377FE3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D5F47F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6B59728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618A7E2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191770E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5A5FD622" w14:textId="77777777" w:rsidTr="001C1CA3">
        <w:trPr>
          <w:trHeight w:val="255"/>
        </w:trPr>
        <w:tc>
          <w:tcPr>
            <w:tcW w:w="4551" w:type="dxa"/>
            <w:shd w:val="clear" w:color="auto" w:fill="17365D"/>
            <w:vAlign w:val="center"/>
          </w:tcPr>
          <w:p w14:paraId="304A593A" w14:textId="77777777" w:rsidR="004176C3" w:rsidRPr="00A4252C" w:rsidRDefault="004176C3" w:rsidP="001D035B">
            <w:pPr>
              <w:spacing w:after="0"/>
              <w:rPr>
                <w:rFonts w:ascii="Arial Narrow" w:hAnsi="Arial Narrow"/>
                <w:b/>
                <w:bCs/>
                <w:sz w:val="16"/>
                <w:szCs w:val="16"/>
                <w:lang w:eastAsia="it-IT"/>
              </w:rPr>
            </w:pPr>
            <w:r w:rsidRPr="00A4252C">
              <w:rPr>
                <w:rFonts w:ascii="Arial Narrow" w:hAnsi="Arial Narrow"/>
                <w:b/>
                <w:bCs/>
                <w:sz w:val="16"/>
                <w:szCs w:val="16"/>
                <w:lang w:eastAsia="it-IT"/>
              </w:rPr>
              <w:t>Copertura: sezioni attività (Ateco 2007)</w:t>
            </w:r>
          </w:p>
        </w:tc>
        <w:tc>
          <w:tcPr>
            <w:tcW w:w="5387" w:type="dxa"/>
            <w:gridSpan w:val="6"/>
            <w:shd w:val="clear" w:color="auto" w:fill="17365D"/>
            <w:vAlign w:val="center"/>
          </w:tcPr>
          <w:p w14:paraId="2F4DE53B"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721165EF" w14:textId="77777777" w:rsidTr="001C1CA3">
        <w:trPr>
          <w:trHeight w:val="255"/>
        </w:trPr>
        <w:tc>
          <w:tcPr>
            <w:tcW w:w="4551" w:type="dxa"/>
            <w:vAlign w:val="center"/>
          </w:tcPr>
          <w:p w14:paraId="29A6BE0E"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A-Agricoltura, silvicoltura e pesca</w:t>
            </w:r>
          </w:p>
        </w:tc>
        <w:tc>
          <w:tcPr>
            <w:tcW w:w="709" w:type="dxa"/>
            <w:shd w:val="clear" w:color="auto" w:fill="F2F2F2"/>
            <w:vAlign w:val="center"/>
          </w:tcPr>
          <w:p w14:paraId="7CD5E18B"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343A961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(d)</w:t>
            </w:r>
          </w:p>
        </w:tc>
        <w:tc>
          <w:tcPr>
            <w:tcW w:w="993" w:type="dxa"/>
            <w:shd w:val="clear" w:color="auto" w:fill="F2F2F2"/>
            <w:vAlign w:val="center"/>
          </w:tcPr>
          <w:p w14:paraId="469DEA3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332F40B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36D23BD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3A4E8A0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5B37CF69" w14:textId="77777777" w:rsidTr="001C1CA3">
        <w:trPr>
          <w:trHeight w:val="255"/>
        </w:trPr>
        <w:tc>
          <w:tcPr>
            <w:tcW w:w="4551" w:type="dxa"/>
            <w:vAlign w:val="center"/>
          </w:tcPr>
          <w:p w14:paraId="208081A7"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B-F Industria</w:t>
            </w:r>
          </w:p>
        </w:tc>
        <w:tc>
          <w:tcPr>
            <w:tcW w:w="709" w:type="dxa"/>
            <w:shd w:val="clear" w:color="auto" w:fill="F2F2F2"/>
            <w:vAlign w:val="center"/>
          </w:tcPr>
          <w:p w14:paraId="7CFAB902"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39987DA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2A1980A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2F6972B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7B62AD7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13A5D06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25D88C71" w14:textId="77777777" w:rsidTr="001C1CA3">
        <w:trPr>
          <w:trHeight w:val="255"/>
        </w:trPr>
        <w:tc>
          <w:tcPr>
            <w:tcW w:w="4551" w:type="dxa"/>
            <w:vAlign w:val="center"/>
          </w:tcPr>
          <w:p w14:paraId="071CD580"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G-N Servizi di mercato</w:t>
            </w:r>
          </w:p>
        </w:tc>
        <w:tc>
          <w:tcPr>
            <w:tcW w:w="709" w:type="dxa"/>
            <w:shd w:val="clear" w:color="auto" w:fill="F2F2F2"/>
            <w:vAlign w:val="center"/>
          </w:tcPr>
          <w:p w14:paraId="7837479E"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7BC37A7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153E5A6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141E472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689B9B8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34AB2C8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44EED0FD" w14:textId="77777777" w:rsidTr="001C1CA3">
        <w:trPr>
          <w:trHeight w:val="255"/>
        </w:trPr>
        <w:tc>
          <w:tcPr>
            <w:tcW w:w="4551" w:type="dxa"/>
            <w:vAlign w:val="center"/>
          </w:tcPr>
          <w:p w14:paraId="7F908A83"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O-Amministrazione pubblica e difesa; ass. sociale obblig.</w:t>
            </w:r>
          </w:p>
        </w:tc>
        <w:tc>
          <w:tcPr>
            <w:tcW w:w="709" w:type="dxa"/>
            <w:shd w:val="clear" w:color="auto" w:fill="F2F2F2"/>
            <w:vAlign w:val="center"/>
          </w:tcPr>
          <w:p w14:paraId="671EBE05"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216CBE8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(b)</w:t>
            </w:r>
          </w:p>
        </w:tc>
        <w:tc>
          <w:tcPr>
            <w:tcW w:w="993" w:type="dxa"/>
            <w:shd w:val="clear" w:color="auto" w:fill="F2F2F2"/>
            <w:vAlign w:val="center"/>
          </w:tcPr>
          <w:p w14:paraId="63D60C6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25A75AB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2050AD6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5219DAE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30A15251" w14:textId="77777777" w:rsidTr="001C1CA3">
        <w:trPr>
          <w:trHeight w:val="255"/>
        </w:trPr>
        <w:tc>
          <w:tcPr>
            <w:tcW w:w="4551" w:type="dxa"/>
            <w:vAlign w:val="center"/>
          </w:tcPr>
          <w:p w14:paraId="18D45F4A"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P-Istruzione</w:t>
            </w:r>
          </w:p>
        </w:tc>
        <w:tc>
          <w:tcPr>
            <w:tcW w:w="709" w:type="dxa"/>
            <w:shd w:val="clear" w:color="auto" w:fill="F2F2F2"/>
            <w:vAlign w:val="center"/>
          </w:tcPr>
          <w:p w14:paraId="26586A82"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28FAC1C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(e)</w:t>
            </w:r>
          </w:p>
        </w:tc>
        <w:tc>
          <w:tcPr>
            <w:tcW w:w="993" w:type="dxa"/>
            <w:shd w:val="clear" w:color="auto" w:fill="F2F2F2"/>
            <w:vAlign w:val="center"/>
          </w:tcPr>
          <w:p w14:paraId="36E91D9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28207D4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0172BD5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(e)</w:t>
            </w:r>
          </w:p>
        </w:tc>
        <w:tc>
          <w:tcPr>
            <w:tcW w:w="945" w:type="dxa"/>
            <w:vAlign w:val="center"/>
          </w:tcPr>
          <w:p w14:paraId="29D6CDC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020E2525" w14:textId="77777777" w:rsidTr="001C1CA3">
        <w:trPr>
          <w:trHeight w:val="255"/>
        </w:trPr>
        <w:tc>
          <w:tcPr>
            <w:tcW w:w="4551" w:type="dxa"/>
            <w:vAlign w:val="center"/>
          </w:tcPr>
          <w:p w14:paraId="37DFB88B"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Q-Sanità e assistenza sociale</w:t>
            </w:r>
          </w:p>
        </w:tc>
        <w:tc>
          <w:tcPr>
            <w:tcW w:w="709" w:type="dxa"/>
            <w:shd w:val="clear" w:color="auto" w:fill="F2F2F2"/>
            <w:vAlign w:val="center"/>
          </w:tcPr>
          <w:p w14:paraId="1CB776CA"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4554EDB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(e)</w:t>
            </w:r>
          </w:p>
        </w:tc>
        <w:tc>
          <w:tcPr>
            <w:tcW w:w="993" w:type="dxa"/>
            <w:shd w:val="clear" w:color="auto" w:fill="F2F2F2"/>
            <w:vAlign w:val="center"/>
          </w:tcPr>
          <w:p w14:paraId="6630402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6419D44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4DF0DBB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(e)</w:t>
            </w:r>
          </w:p>
        </w:tc>
        <w:tc>
          <w:tcPr>
            <w:tcW w:w="945" w:type="dxa"/>
            <w:vAlign w:val="center"/>
          </w:tcPr>
          <w:p w14:paraId="2C2AD3D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2DCE9184" w14:textId="77777777" w:rsidTr="001C1CA3">
        <w:trPr>
          <w:trHeight w:val="255"/>
        </w:trPr>
        <w:tc>
          <w:tcPr>
            <w:tcW w:w="4551" w:type="dxa"/>
            <w:vAlign w:val="center"/>
          </w:tcPr>
          <w:p w14:paraId="73B3B2D6"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R-Attività artistiche, sportive, di intrattenimento e divertimento</w:t>
            </w:r>
          </w:p>
        </w:tc>
        <w:tc>
          <w:tcPr>
            <w:tcW w:w="709" w:type="dxa"/>
            <w:shd w:val="clear" w:color="auto" w:fill="F2F2F2"/>
            <w:vAlign w:val="center"/>
          </w:tcPr>
          <w:p w14:paraId="4FE0B700"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7AD9641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(e)</w:t>
            </w:r>
          </w:p>
        </w:tc>
        <w:tc>
          <w:tcPr>
            <w:tcW w:w="993" w:type="dxa"/>
            <w:shd w:val="clear" w:color="auto" w:fill="F2F2F2"/>
            <w:vAlign w:val="center"/>
          </w:tcPr>
          <w:p w14:paraId="00E2F36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1DA0468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28BE84E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 (e)</w:t>
            </w:r>
          </w:p>
        </w:tc>
        <w:tc>
          <w:tcPr>
            <w:tcW w:w="945" w:type="dxa"/>
            <w:vAlign w:val="center"/>
          </w:tcPr>
          <w:p w14:paraId="2FFD91C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6A8A450D" w14:textId="77777777" w:rsidTr="001C1CA3">
        <w:trPr>
          <w:trHeight w:val="255"/>
        </w:trPr>
        <w:tc>
          <w:tcPr>
            <w:tcW w:w="4551" w:type="dxa"/>
            <w:vAlign w:val="center"/>
          </w:tcPr>
          <w:p w14:paraId="68B14DB4"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S-Altre attività di servizi</w:t>
            </w:r>
          </w:p>
        </w:tc>
        <w:tc>
          <w:tcPr>
            <w:tcW w:w="709" w:type="dxa"/>
            <w:shd w:val="clear" w:color="auto" w:fill="F2F2F2"/>
            <w:vAlign w:val="center"/>
          </w:tcPr>
          <w:p w14:paraId="74FEE54A"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71AF49C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6CAF62D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1F6FA77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1977BC6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2184465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3A9E4598" w14:textId="77777777" w:rsidTr="001C1CA3">
        <w:trPr>
          <w:trHeight w:val="255"/>
        </w:trPr>
        <w:tc>
          <w:tcPr>
            <w:tcW w:w="4551" w:type="dxa"/>
            <w:vAlign w:val="center"/>
          </w:tcPr>
          <w:p w14:paraId="5587E355"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T-Attività di famiglie e convivenze come datori di lavoro domestico; ecc.</w:t>
            </w:r>
          </w:p>
        </w:tc>
        <w:tc>
          <w:tcPr>
            <w:tcW w:w="709" w:type="dxa"/>
            <w:shd w:val="clear" w:color="auto" w:fill="F2F2F2"/>
            <w:vAlign w:val="center"/>
          </w:tcPr>
          <w:p w14:paraId="59290506"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15B2AC8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02912F0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16C5E8A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417BF31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4B2A8E3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29BCA4B7" w14:textId="77777777" w:rsidTr="001C1CA3">
        <w:trPr>
          <w:trHeight w:val="255"/>
        </w:trPr>
        <w:tc>
          <w:tcPr>
            <w:tcW w:w="4551" w:type="dxa"/>
            <w:vAlign w:val="center"/>
          </w:tcPr>
          <w:p w14:paraId="64E0B6DA"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U-Organizzazioni e organismi extraterritoriali</w:t>
            </w:r>
          </w:p>
        </w:tc>
        <w:tc>
          <w:tcPr>
            <w:tcW w:w="709" w:type="dxa"/>
            <w:shd w:val="clear" w:color="auto" w:fill="F2F2F2"/>
            <w:vAlign w:val="center"/>
          </w:tcPr>
          <w:p w14:paraId="1BD3B2D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2380E6A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231D7AD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3CFF8D8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32E68AE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516BA59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13778B44" w14:textId="77777777" w:rsidTr="001C1CA3">
        <w:trPr>
          <w:trHeight w:val="255"/>
        </w:trPr>
        <w:tc>
          <w:tcPr>
            <w:tcW w:w="4551" w:type="dxa"/>
            <w:shd w:val="clear" w:color="auto" w:fill="17365D"/>
            <w:vAlign w:val="center"/>
          </w:tcPr>
          <w:p w14:paraId="4507DAEB" w14:textId="77777777" w:rsidR="004176C3" w:rsidRPr="00A4252C" w:rsidRDefault="004176C3" w:rsidP="001D035B">
            <w:pPr>
              <w:spacing w:after="0"/>
              <w:rPr>
                <w:rFonts w:ascii="Arial Narrow" w:hAnsi="Arial Narrow"/>
                <w:b/>
                <w:bCs/>
                <w:sz w:val="16"/>
                <w:szCs w:val="16"/>
                <w:lang w:eastAsia="it-IT"/>
              </w:rPr>
            </w:pPr>
            <w:r w:rsidRPr="00A4252C">
              <w:rPr>
                <w:rFonts w:ascii="Arial Narrow" w:hAnsi="Arial Narrow"/>
                <w:b/>
                <w:bCs/>
                <w:sz w:val="16"/>
                <w:szCs w:val="16"/>
                <w:lang w:eastAsia="it-IT"/>
              </w:rPr>
              <w:t>Unità di analisi</w:t>
            </w:r>
          </w:p>
        </w:tc>
        <w:tc>
          <w:tcPr>
            <w:tcW w:w="709" w:type="dxa"/>
            <w:shd w:val="clear" w:color="auto" w:fill="17365D"/>
            <w:vAlign w:val="center"/>
          </w:tcPr>
          <w:p w14:paraId="59664C6D"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shd w:val="clear" w:color="auto" w:fill="17365D"/>
            <w:vAlign w:val="center"/>
          </w:tcPr>
          <w:p w14:paraId="448ED06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17365D"/>
            <w:vAlign w:val="center"/>
          </w:tcPr>
          <w:p w14:paraId="35DD10D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17365D"/>
            <w:vAlign w:val="center"/>
          </w:tcPr>
          <w:p w14:paraId="7CDB449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17365D"/>
            <w:vAlign w:val="center"/>
          </w:tcPr>
          <w:p w14:paraId="02E3622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shd w:val="clear" w:color="auto" w:fill="17365D"/>
            <w:vAlign w:val="center"/>
          </w:tcPr>
          <w:p w14:paraId="6839FBA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5DD0E834" w14:textId="77777777" w:rsidTr="001C1CA3">
        <w:trPr>
          <w:trHeight w:val="255"/>
        </w:trPr>
        <w:tc>
          <w:tcPr>
            <w:tcW w:w="4551" w:type="dxa"/>
            <w:shd w:val="clear" w:color="000000" w:fill="FFFFFF"/>
            <w:vAlign w:val="center"/>
          </w:tcPr>
          <w:p w14:paraId="6C265B29"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Attivazioni, trasformazioni, proroghe e cessazioni di rapporto di lavoro</w:t>
            </w:r>
          </w:p>
        </w:tc>
        <w:tc>
          <w:tcPr>
            <w:tcW w:w="709" w:type="dxa"/>
            <w:shd w:val="clear" w:color="auto" w:fill="F2F2F2"/>
            <w:vAlign w:val="center"/>
          </w:tcPr>
          <w:p w14:paraId="16841B3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65151FC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767075A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535F2EA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058DE7E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30057E7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7C2455EE" w14:textId="77777777" w:rsidTr="001C1CA3">
        <w:trPr>
          <w:trHeight w:val="255"/>
        </w:trPr>
        <w:tc>
          <w:tcPr>
            <w:tcW w:w="4551" w:type="dxa"/>
            <w:shd w:val="clear" w:color="000000" w:fill="FFFFFF"/>
            <w:vAlign w:val="center"/>
          </w:tcPr>
          <w:p w14:paraId="3268F858"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Lavoratori interessati da rapporto di lavoro</w:t>
            </w:r>
          </w:p>
        </w:tc>
        <w:tc>
          <w:tcPr>
            <w:tcW w:w="709" w:type="dxa"/>
            <w:shd w:val="clear" w:color="auto" w:fill="F2F2F2"/>
            <w:vAlign w:val="center"/>
          </w:tcPr>
          <w:p w14:paraId="000C1F90"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6C2397C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2C8182A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7F7F444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506AFCF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3377207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1087950E" w14:textId="77777777" w:rsidTr="001C1CA3">
        <w:trPr>
          <w:trHeight w:val="255"/>
        </w:trPr>
        <w:tc>
          <w:tcPr>
            <w:tcW w:w="4551" w:type="dxa"/>
            <w:shd w:val="clear" w:color="000000" w:fill="FFFFFF"/>
            <w:vAlign w:val="center"/>
          </w:tcPr>
          <w:p w14:paraId="19018539"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Voucher venduti e prestatori di lavoro accessorio</w:t>
            </w:r>
          </w:p>
        </w:tc>
        <w:tc>
          <w:tcPr>
            <w:tcW w:w="709" w:type="dxa"/>
            <w:shd w:val="clear" w:color="auto" w:fill="F2F2F2"/>
            <w:vAlign w:val="center"/>
          </w:tcPr>
          <w:p w14:paraId="6A6095A0"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165904A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70133E5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2D4CB0F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722D76F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5539413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21A6E626" w14:textId="77777777" w:rsidTr="001C1CA3">
        <w:trPr>
          <w:trHeight w:val="255"/>
        </w:trPr>
        <w:tc>
          <w:tcPr>
            <w:tcW w:w="4551" w:type="dxa"/>
            <w:shd w:val="clear" w:color="000000" w:fill="FFFFFF"/>
            <w:vAlign w:val="center"/>
          </w:tcPr>
          <w:p w14:paraId="3C6DE4CC"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Posizioni lavorative/Rapporti di lavoro</w:t>
            </w:r>
          </w:p>
        </w:tc>
        <w:tc>
          <w:tcPr>
            <w:tcW w:w="709" w:type="dxa"/>
            <w:shd w:val="clear" w:color="auto" w:fill="F2F2F2"/>
            <w:vAlign w:val="center"/>
          </w:tcPr>
          <w:p w14:paraId="5EEF2E1D"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18C8FDB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71BAB7B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2325C31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7ABA0F6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4EEE28F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49DA3251" w14:textId="77777777" w:rsidTr="001C1CA3">
        <w:trPr>
          <w:trHeight w:val="255"/>
        </w:trPr>
        <w:tc>
          <w:tcPr>
            <w:tcW w:w="4551" w:type="dxa"/>
            <w:shd w:val="clear" w:color="000000" w:fill="FFFFFF"/>
            <w:vAlign w:val="center"/>
          </w:tcPr>
          <w:p w14:paraId="1AD805CA"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Occupati, disoccupati, inattivi</w:t>
            </w:r>
          </w:p>
        </w:tc>
        <w:tc>
          <w:tcPr>
            <w:tcW w:w="709" w:type="dxa"/>
            <w:shd w:val="clear" w:color="auto" w:fill="F2F2F2"/>
            <w:vAlign w:val="center"/>
          </w:tcPr>
          <w:p w14:paraId="6C62E2E2"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28A6E36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256E9E1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1FB3B0A0"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4B8B9C8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4601B06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64241EC9" w14:textId="77777777" w:rsidTr="001C1CA3">
        <w:trPr>
          <w:trHeight w:val="255"/>
        </w:trPr>
        <w:tc>
          <w:tcPr>
            <w:tcW w:w="4551" w:type="dxa"/>
            <w:shd w:val="clear" w:color="000000" w:fill="FFFFFF"/>
            <w:vAlign w:val="center"/>
          </w:tcPr>
          <w:p w14:paraId="52C93CC5"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ULA</w:t>
            </w:r>
          </w:p>
        </w:tc>
        <w:tc>
          <w:tcPr>
            <w:tcW w:w="709" w:type="dxa"/>
            <w:shd w:val="clear" w:color="auto" w:fill="F2F2F2"/>
            <w:vAlign w:val="center"/>
          </w:tcPr>
          <w:p w14:paraId="0D2D2843"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186E4BE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5A620A1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7E2B2C1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5948411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43F68A4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1444283A" w14:textId="77777777" w:rsidTr="001C1CA3">
        <w:trPr>
          <w:trHeight w:val="255"/>
        </w:trPr>
        <w:tc>
          <w:tcPr>
            <w:tcW w:w="4551" w:type="dxa"/>
            <w:shd w:val="clear" w:color="000000" w:fill="FFFFFF"/>
            <w:vAlign w:val="center"/>
          </w:tcPr>
          <w:p w14:paraId="58BDE00E"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Ore lavorate</w:t>
            </w:r>
          </w:p>
        </w:tc>
        <w:tc>
          <w:tcPr>
            <w:tcW w:w="709" w:type="dxa"/>
            <w:shd w:val="clear" w:color="auto" w:fill="F2F2F2"/>
            <w:vAlign w:val="center"/>
          </w:tcPr>
          <w:p w14:paraId="07496D87"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26FB91DC"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C17792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4B8F3A3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50B9052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65088E3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r w:rsidR="004176C3" w:rsidRPr="00A4252C" w14:paraId="06E4172C" w14:textId="77777777" w:rsidTr="001C1CA3">
        <w:trPr>
          <w:trHeight w:val="255"/>
        </w:trPr>
        <w:tc>
          <w:tcPr>
            <w:tcW w:w="4551" w:type="dxa"/>
            <w:shd w:val="clear" w:color="auto" w:fill="17365D"/>
            <w:vAlign w:val="center"/>
          </w:tcPr>
          <w:p w14:paraId="15C7E98D" w14:textId="77777777" w:rsidR="004176C3" w:rsidRPr="00A4252C" w:rsidRDefault="004176C3" w:rsidP="001D035B">
            <w:pPr>
              <w:spacing w:after="0"/>
              <w:rPr>
                <w:rFonts w:ascii="Arial Narrow" w:hAnsi="Arial Narrow"/>
                <w:b/>
                <w:bCs/>
                <w:sz w:val="16"/>
                <w:szCs w:val="16"/>
                <w:lang w:eastAsia="it-IT"/>
              </w:rPr>
            </w:pPr>
            <w:r w:rsidRPr="00A4252C">
              <w:rPr>
                <w:rFonts w:ascii="Arial Narrow" w:hAnsi="Arial Narrow"/>
                <w:b/>
                <w:bCs/>
                <w:sz w:val="16"/>
                <w:szCs w:val="16"/>
                <w:lang w:eastAsia="it-IT"/>
              </w:rPr>
              <w:t>Indicatori</w:t>
            </w:r>
          </w:p>
        </w:tc>
        <w:tc>
          <w:tcPr>
            <w:tcW w:w="5387" w:type="dxa"/>
            <w:gridSpan w:val="6"/>
            <w:shd w:val="clear" w:color="auto" w:fill="17365D"/>
            <w:vAlign w:val="center"/>
          </w:tcPr>
          <w:p w14:paraId="31578DB5"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2EF2F8D0" w14:textId="77777777" w:rsidTr="001C1CA3">
        <w:trPr>
          <w:trHeight w:val="255"/>
        </w:trPr>
        <w:tc>
          <w:tcPr>
            <w:tcW w:w="4551" w:type="dxa"/>
            <w:vAlign w:val="center"/>
          </w:tcPr>
          <w:p w14:paraId="7759B239"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 xml:space="preserve">Flussi trimestrali </w:t>
            </w:r>
          </w:p>
        </w:tc>
        <w:tc>
          <w:tcPr>
            <w:tcW w:w="709" w:type="dxa"/>
            <w:shd w:val="clear" w:color="auto" w:fill="F2F2F2"/>
            <w:vAlign w:val="center"/>
          </w:tcPr>
          <w:p w14:paraId="47171A3C"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x</w:t>
            </w:r>
          </w:p>
        </w:tc>
        <w:tc>
          <w:tcPr>
            <w:tcW w:w="992" w:type="dxa"/>
            <w:vAlign w:val="center"/>
          </w:tcPr>
          <w:p w14:paraId="5C564E6E"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760BBB9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3B292DD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35D110D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307FB942"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48698190" w14:textId="77777777" w:rsidTr="001C1CA3">
        <w:trPr>
          <w:trHeight w:val="255"/>
        </w:trPr>
        <w:tc>
          <w:tcPr>
            <w:tcW w:w="4551" w:type="dxa"/>
            <w:vAlign w:val="center"/>
          </w:tcPr>
          <w:p w14:paraId="3A400341"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Flussi mensili</w:t>
            </w:r>
          </w:p>
        </w:tc>
        <w:tc>
          <w:tcPr>
            <w:tcW w:w="709" w:type="dxa"/>
            <w:shd w:val="clear" w:color="auto" w:fill="F2F2F2"/>
            <w:vAlign w:val="center"/>
          </w:tcPr>
          <w:p w14:paraId="44C9973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04BB51E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93" w:type="dxa"/>
            <w:shd w:val="clear" w:color="auto" w:fill="F2F2F2"/>
            <w:vAlign w:val="center"/>
          </w:tcPr>
          <w:p w14:paraId="2141EFD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vAlign w:val="center"/>
          </w:tcPr>
          <w:p w14:paraId="799B2501"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4FE79B03"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0332A17A"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658F527C" w14:textId="77777777" w:rsidTr="001C1CA3">
        <w:trPr>
          <w:trHeight w:val="255"/>
        </w:trPr>
        <w:tc>
          <w:tcPr>
            <w:tcW w:w="4551" w:type="dxa"/>
            <w:vAlign w:val="center"/>
          </w:tcPr>
          <w:p w14:paraId="129C4CA8"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Media trimestrale stock settimanali</w:t>
            </w:r>
          </w:p>
        </w:tc>
        <w:tc>
          <w:tcPr>
            <w:tcW w:w="709" w:type="dxa"/>
            <w:shd w:val="clear" w:color="auto" w:fill="F2F2F2"/>
            <w:vAlign w:val="center"/>
          </w:tcPr>
          <w:p w14:paraId="11357D42"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4C13179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37D6BD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4D9F5C2B"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874" w:type="dxa"/>
            <w:shd w:val="clear" w:color="auto" w:fill="F2F2F2"/>
            <w:vAlign w:val="center"/>
          </w:tcPr>
          <w:p w14:paraId="759FAC8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09AA4E6D"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265E198B" w14:textId="77777777" w:rsidTr="001C1CA3">
        <w:trPr>
          <w:trHeight w:val="255"/>
        </w:trPr>
        <w:tc>
          <w:tcPr>
            <w:tcW w:w="4551" w:type="dxa"/>
            <w:vAlign w:val="center"/>
          </w:tcPr>
          <w:p w14:paraId="465C434D" w14:textId="77777777" w:rsidR="004176C3" w:rsidRPr="00A4252C" w:rsidRDefault="004176C3" w:rsidP="001D035B">
            <w:pPr>
              <w:spacing w:after="0"/>
              <w:rPr>
                <w:rFonts w:ascii="Arial Narrow" w:hAnsi="Arial Narrow"/>
                <w:sz w:val="16"/>
                <w:szCs w:val="16"/>
                <w:lang w:eastAsia="it-IT"/>
              </w:rPr>
            </w:pPr>
            <w:r w:rsidRPr="00A4252C">
              <w:rPr>
                <w:rFonts w:ascii="Arial Narrow" w:hAnsi="Arial Narrow"/>
                <w:sz w:val="16"/>
                <w:szCs w:val="16"/>
                <w:lang w:eastAsia="it-IT"/>
              </w:rPr>
              <w:t>Media trimestrale stock mensili</w:t>
            </w:r>
          </w:p>
        </w:tc>
        <w:tc>
          <w:tcPr>
            <w:tcW w:w="709" w:type="dxa"/>
            <w:shd w:val="clear" w:color="auto" w:fill="F2F2F2"/>
            <w:vAlign w:val="center"/>
          </w:tcPr>
          <w:p w14:paraId="5C8EBC29" w14:textId="77777777" w:rsidR="004176C3" w:rsidRPr="00A4252C" w:rsidRDefault="004176C3" w:rsidP="008B7C55">
            <w:pPr>
              <w:spacing w:after="0"/>
              <w:ind w:left="-86"/>
              <w:jc w:val="center"/>
              <w:rPr>
                <w:rFonts w:ascii="Arial Narrow" w:hAnsi="Arial Narrow"/>
                <w:sz w:val="16"/>
                <w:szCs w:val="16"/>
                <w:lang w:eastAsia="it-IT"/>
              </w:rPr>
            </w:pPr>
            <w:r w:rsidRPr="00A4252C">
              <w:rPr>
                <w:rFonts w:ascii="Arial Narrow" w:hAnsi="Arial Narrow"/>
                <w:sz w:val="16"/>
                <w:szCs w:val="16"/>
                <w:lang w:eastAsia="it-IT"/>
              </w:rPr>
              <w:t> </w:t>
            </w:r>
          </w:p>
        </w:tc>
        <w:tc>
          <w:tcPr>
            <w:tcW w:w="992" w:type="dxa"/>
            <w:vAlign w:val="center"/>
          </w:tcPr>
          <w:p w14:paraId="6AD54CE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13F43C3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1BB70564"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5756870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c>
          <w:tcPr>
            <w:tcW w:w="945" w:type="dxa"/>
            <w:vAlign w:val="center"/>
          </w:tcPr>
          <w:p w14:paraId="2D86C5C6"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r>
      <w:tr w:rsidR="004176C3" w:rsidRPr="00A4252C" w14:paraId="0CC97EC7" w14:textId="77777777" w:rsidTr="001C1CA3">
        <w:trPr>
          <w:trHeight w:val="255"/>
        </w:trPr>
        <w:tc>
          <w:tcPr>
            <w:tcW w:w="4551" w:type="dxa"/>
            <w:vAlign w:val="center"/>
          </w:tcPr>
          <w:p w14:paraId="0306B075" w14:textId="3DCEEF2F" w:rsidR="004176C3" w:rsidRPr="00A4252C" w:rsidRDefault="004176C3" w:rsidP="005B20A7">
            <w:pPr>
              <w:spacing w:after="0"/>
              <w:rPr>
                <w:rFonts w:ascii="Arial Narrow" w:hAnsi="Arial Narrow"/>
                <w:sz w:val="16"/>
                <w:szCs w:val="16"/>
                <w:lang w:eastAsia="it-IT"/>
              </w:rPr>
            </w:pPr>
            <w:r w:rsidRPr="00A4252C">
              <w:rPr>
                <w:rFonts w:ascii="Arial Narrow" w:hAnsi="Arial Narrow"/>
                <w:sz w:val="16"/>
                <w:szCs w:val="16"/>
                <w:lang w:eastAsia="it-IT"/>
              </w:rPr>
              <w:t>Media trimestrale stock</w:t>
            </w:r>
          </w:p>
        </w:tc>
        <w:tc>
          <w:tcPr>
            <w:tcW w:w="709" w:type="dxa"/>
            <w:shd w:val="clear" w:color="auto" w:fill="F2F2F2"/>
            <w:vAlign w:val="center"/>
          </w:tcPr>
          <w:p w14:paraId="32AC2C81" w14:textId="77777777" w:rsidR="004176C3" w:rsidRPr="00A4252C" w:rsidRDefault="004176C3" w:rsidP="008B7C55">
            <w:pPr>
              <w:spacing w:after="0"/>
              <w:ind w:left="-86"/>
              <w:jc w:val="center"/>
              <w:rPr>
                <w:rFonts w:ascii="Arial Narrow" w:hAnsi="Arial Narrow"/>
                <w:sz w:val="16"/>
                <w:szCs w:val="16"/>
                <w:lang w:eastAsia="it-IT"/>
              </w:rPr>
            </w:pPr>
          </w:p>
        </w:tc>
        <w:tc>
          <w:tcPr>
            <w:tcW w:w="992" w:type="dxa"/>
            <w:vAlign w:val="center"/>
          </w:tcPr>
          <w:p w14:paraId="12342CF5"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93" w:type="dxa"/>
            <w:shd w:val="clear" w:color="auto" w:fill="F2F2F2"/>
            <w:vAlign w:val="center"/>
          </w:tcPr>
          <w:p w14:paraId="76AD602F"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vAlign w:val="center"/>
          </w:tcPr>
          <w:p w14:paraId="744FD937"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874" w:type="dxa"/>
            <w:shd w:val="clear" w:color="auto" w:fill="F2F2F2"/>
            <w:vAlign w:val="center"/>
          </w:tcPr>
          <w:p w14:paraId="364D13C8"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 </w:t>
            </w:r>
          </w:p>
        </w:tc>
        <w:tc>
          <w:tcPr>
            <w:tcW w:w="945" w:type="dxa"/>
            <w:vAlign w:val="center"/>
          </w:tcPr>
          <w:p w14:paraId="45FCC2C9" w14:textId="77777777" w:rsidR="004176C3" w:rsidRPr="00A4252C" w:rsidRDefault="004176C3" w:rsidP="008B7C55">
            <w:pPr>
              <w:spacing w:after="0"/>
              <w:ind w:left="-353" w:firstLine="353"/>
              <w:jc w:val="center"/>
              <w:rPr>
                <w:rFonts w:ascii="Arial Narrow" w:hAnsi="Arial Narrow"/>
                <w:sz w:val="16"/>
                <w:szCs w:val="16"/>
                <w:lang w:eastAsia="it-IT"/>
              </w:rPr>
            </w:pPr>
            <w:r w:rsidRPr="00A4252C">
              <w:rPr>
                <w:rFonts w:ascii="Arial Narrow" w:hAnsi="Arial Narrow"/>
                <w:sz w:val="16"/>
                <w:szCs w:val="16"/>
                <w:lang w:eastAsia="it-IT"/>
              </w:rPr>
              <w:t>x</w:t>
            </w:r>
          </w:p>
        </w:tc>
      </w:tr>
    </w:tbl>
    <w:p w14:paraId="29113F08" w14:textId="77777777" w:rsidR="004176C3" w:rsidRDefault="004176C3" w:rsidP="00411755">
      <w:pPr>
        <w:spacing w:before="60"/>
      </w:pPr>
      <w:r w:rsidRPr="00A4252C">
        <w:rPr>
          <w:rFonts w:ascii="Arial Narrow" w:hAnsi="Arial Narrow" w:cs="Arial"/>
          <w:color w:val="000000"/>
          <w:sz w:val="15"/>
          <w:szCs w:val="15"/>
        </w:rPr>
        <w:t>(a) Esclusi i proprietari di fabbricati (b) Solo Enti pubblici economici (c) Esclusi tutti i lavoratori agricoli (d) Esclusi gli operai agricoli (e) Esclusi i dipendenti delle istituzioni pubbliche</w:t>
      </w:r>
      <w:r w:rsidR="00D82117" w:rsidRPr="00A4252C">
        <w:rPr>
          <w:rFonts w:ascii="Arial Narrow" w:hAnsi="Arial Narrow" w:cstheme="minorBidi"/>
          <w:color w:val="000000" w:themeColor="dark1"/>
          <w:sz w:val="14"/>
          <w:szCs w:val="14"/>
        </w:rPr>
        <w:t>e</w:t>
      </w:r>
    </w:p>
    <w:sectPr w:rsidR="004176C3" w:rsidSect="005C46DD">
      <w:footerReference w:type="default" r:id="rId42"/>
      <w:headerReference w:type="first" r:id="rId43"/>
      <w:pgSz w:w="11906" w:h="16838"/>
      <w:pgMar w:top="1135"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6DA3B" w14:textId="77777777" w:rsidR="00057BB6" w:rsidRDefault="00057BB6" w:rsidP="00C52037">
      <w:pPr>
        <w:spacing w:after="0"/>
      </w:pPr>
      <w:r>
        <w:separator/>
      </w:r>
    </w:p>
  </w:endnote>
  <w:endnote w:type="continuationSeparator" w:id="0">
    <w:p w14:paraId="7284B072" w14:textId="77777777" w:rsidR="00057BB6" w:rsidRDefault="00057BB6" w:rsidP="00C520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E6DC" w14:textId="7DFD3FED" w:rsidR="00AC2E33" w:rsidRDefault="00AC2E33" w:rsidP="0079220E">
    <w:pPr>
      <w:pStyle w:val="Pidipagina"/>
      <w:jc w:val="right"/>
    </w:pPr>
    <w:r>
      <w:fldChar w:fldCharType="begin"/>
    </w:r>
    <w:r>
      <w:instrText>PAGE   \* MERGEFORMAT</w:instrText>
    </w:r>
    <w:r>
      <w:fldChar w:fldCharType="separate"/>
    </w:r>
    <w:r w:rsidR="00992541">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D8682" w14:textId="77777777" w:rsidR="00057BB6" w:rsidRDefault="00057BB6" w:rsidP="00C52037">
      <w:pPr>
        <w:spacing w:after="0"/>
      </w:pPr>
      <w:r>
        <w:separator/>
      </w:r>
    </w:p>
  </w:footnote>
  <w:footnote w:type="continuationSeparator" w:id="0">
    <w:p w14:paraId="0DFFF032" w14:textId="77777777" w:rsidR="00057BB6" w:rsidRDefault="00057BB6" w:rsidP="00C52037">
      <w:pPr>
        <w:spacing w:after="0"/>
      </w:pPr>
      <w:r>
        <w:continuationSeparator/>
      </w:r>
    </w:p>
  </w:footnote>
  <w:footnote w:id="1">
    <w:p w14:paraId="3D35F6F3" w14:textId="77777777" w:rsidR="00AC2E33" w:rsidRDefault="00AC2E33" w:rsidP="00213F06">
      <w:pPr>
        <w:pStyle w:val="NOTA"/>
      </w:pPr>
      <w:r w:rsidRPr="00AF2D53">
        <w:rPr>
          <w:rStyle w:val="Rimandonotaapidipagina"/>
          <w:rFonts w:cs="Arial"/>
        </w:rPr>
        <w:footnoteRef/>
      </w:r>
      <w:r w:rsidRPr="00AF2D53">
        <w:t xml:space="preserve"> Il trattamento delle Comunicazioni </w:t>
      </w:r>
      <w:r>
        <w:t>o</w:t>
      </w:r>
      <w:r w:rsidRPr="00AF2D53">
        <w:t>bbligatorie, introdotto per la Nota trimestrale</w:t>
      </w:r>
      <w:r>
        <w:t xml:space="preserve"> congiunta</w:t>
      </w:r>
      <w:r w:rsidRPr="00AF2D53">
        <w:t>, viene descritto nella nota metodologica.</w:t>
      </w:r>
    </w:p>
  </w:footnote>
  <w:footnote w:id="2">
    <w:p w14:paraId="7191B3BE" w14:textId="5CE0A584" w:rsidR="00AC2E33" w:rsidRPr="00B329DC" w:rsidRDefault="00AC2E33" w:rsidP="00D51750">
      <w:pPr>
        <w:pStyle w:val="Testonotaapidipagina"/>
        <w:spacing w:after="60"/>
      </w:pPr>
      <w:r w:rsidRPr="00966748">
        <w:rPr>
          <w:rStyle w:val="Rimandonotaapidipagina"/>
        </w:rPr>
        <w:footnoteRef/>
      </w:r>
      <w:r w:rsidRPr="00966748">
        <w:t xml:space="preserve"> Per maggiori informazioni si veda il prospetto 3 della Statistica Flash “Il mercato del lavoro” dell’Istat rilasciata il 13 </w:t>
      </w:r>
      <w:r>
        <w:t>giugno</w:t>
      </w:r>
      <w:r w:rsidRPr="00966748">
        <w:t xml:space="preserve"> 2019.</w:t>
      </w:r>
      <w:r>
        <w:t xml:space="preserve"> </w:t>
      </w:r>
    </w:p>
  </w:footnote>
  <w:footnote w:id="3">
    <w:p w14:paraId="72B971EE" w14:textId="535CA313" w:rsidR="00AC2E33" w:rsidRDefault="00AC2E33">
      <w:pPr>
        <w:pStyle w:val="Testonotaapidipagina"/>
      </w:pPr>
      <w:r w:rsidRPr="00BE1190">
        <w:rPr>
          <w:rStyle w:val="Rimandonotaapidipagina"/>
        </w:rPr>
        <w:footnoteRef/>
      </w:r>
      <w:r w:rsidRPr="00BE1190">
        <w:t xml:space="preserve"> Per maggiori informazioni si veda la Statistica Flash “Il mercato del lavoro” dell’Istat rilasciata il 13 giugno 2019.</w:t>
      </w:r>
    </w:p>
  </w:footnote>
  <w:footnote w:id="4">
    <w:p w14:paraId="44979568" w14:textId="77777777" w:rsidR="00AC2E33" w:rsidRPr="007B2096" w:rsidRDefault="00AC2E33" w:rsidP="0065341A">
      <w:pPr>
        <w:pStyle w:val="Testonotaapidipagina"/>
        <w:rPr>
          <w:rFonts w:cs="Arial"/>
          <w:szCs w:val="16"/>
        </w:rPr>
      </w:pPr>
      <w:r w:rsidRPr="00CD3882">
        <w:rPr>
          <w:rStyle w:val="Rimandonotaapidipagina"/>
          <w:rFonts w:cs="Arial"/>
          <w:szCs w:val="16"/>
        </w:rPr>
        <w:footnoteRef/>
      </w:r>
      <w:r w:rsidRPr="00CD3882">
        <w:rPr>
          <w:rFonts w:cs="Arial"/>
          <w:szCs w:val="16"/>
        </w:rPr>
        <w:t xml:space="preserve"> Per scomporre la variazione nelle due componenti – demografica e non demografica – si è tenuto conto delle incidenze di occupati, disoccupati e inattivi dell’ultimo trimestre e si sono calcolati i valori assoluti tenendo fissa la popolazione all’anno precedente (vedi Nota metodologica).</w:t>
      </w:r>
    </w:p>
  </w:footnote>
  <w:footnote w:id="5">
    <w:p w14:paraId="51C62955" w14:textId="31EA900E" w:rsidR="00AC2E33" w:rsidRDefault="00AC2E33" w:rsidP="00E74609">
      <w:pPr>
        <w:pStyle w:val="Testonotaapidipagina"/>
      </w:pPr>
      <w:r>
        <w:rPr>
          <w:rStyle w:val="Rimandonotaapidipagina"/>
        </w:rPr>
        <w:footnoteRef/>
      </w:r>
      <w:r>
        <w:t xml:space="preserve"> In media le trasformazioni da tempo determinato a indeterminato avvengono a circa un anno di distanza, e il tasso medio di trasformazione si colloca attorno al 10%. Pertanto un forte aumento della platea dei tempi determinati comporta un successivo incremento del numero di trasformazioni (cfr: Anastasia B., Gambuzza M., Gatti F., Maschio S., Rasera M., </w:t>
      </w:r>
      <w:r w:rsidRPr="00E74609">
        <w:rPr>
          <w:i/>
        </w:rPr>
        <w:t>L’apporto conoscitivo degli indicatori longitudinali per l’analisi del mercato del lavoro, Veneto Lavoro</w:t>
      </w:r>
      <w:r>
        <w:t>, Osservatorio del mercato del lavoro, luglio 2018).</w:t>
      </w:r>
    </w:p>
  </w:footnote>
  <w:footnote w:id="6">
    <w:p w14:paraId="3ADA9688" w14:textId="71958B84" w:rsidR="00AC2E33" w:rsidRDefault="00AC2E33">
      <w:pPr>
        <w:pStyle w:val="Testonotaapidipagina"/>
      </w:pPr>
      <w:r w:rsidRPr="00394319">
        <w:rPr>
          <w:rStyle w:val="Rimandonotaapidipagina"/>
        </w:rPr>
        <w:footnoteRef/>
      </w:r>
      <w:r w:rsidRPr="00394319">
        <w:t xml:space="preserve"> Il cosiddetto “Decreto dignità” ha </w:t>
      </w:r>
      <w:r w:rsidRPr="00AF2B84">
        <w:t xml:space="preserve">ridotto il numero di mesi in cui è consentito assumere, rinnovare o prorogare contratti a tempo determinato, incluso quello </w:t>
      </w:r>
      <w:r>
        <w:t xml:space="preserve">in </w:t>
      </w:r>
      <w:r w:rsidRPr="00AF2B84">
        <w:t>somministra</w:t>
      </w:r>
      <w:r>
        <w:t>zione</w:t>
      </w:r>
      <w:r w:rsidRPr="00394319">
        <w:t>.</w:t>
      </w:r>
    </w:p>
  </w:footnote>
  <w:footnote w:id="7">
    <w:p w14:paraId="5D40376E" w14:textId="2A301E08" w:rsidR="00AC2E33" w:rsidRPr="00A51547" w:rsidRDefault="00AC2E33" w:rsidP="009C61A5">
      <w:pPr>
        <w:pStyle w:val="Testonotaapidipagina"/>
      </w:pPr>
      <w:r w:rsidRPr="00A51547">
        <w:rPr>
          <w:rStyle w:val="Rimandonotaapidipagina"/>
        </w:rPr>
        <w:footnoteRef/>
      </w:r>
      <w:r w:rsidRPr="00A51547">
        <w:t xml:space="preserve"> Nei dati dell’osservatorio sul precariato dell’Inps nei tre mesi del 2019 si osserva una sensibile riduzione delle attivazioni di rapporti in somministrazione, un leggero incremento delle cessazioni e un forte </w:t>
      </w:r>
      <w:r>
        <w:t>aumento</w:t>
      </w:r>
      <w:r w:rsidRPr="00A51547">
        <w:t xml:space="preserve"> delle trasformazioni a tempo indeterminato di precedenti rapporti a termine somministrati</w:t>
      </w:r>
      <w:r>
        <w:t xml:space="preserve"> </w:t>
      </w:r>
      <w:r w:rsidRPr="00A51547">
        <w:t>(</w:t>
      </w:r>
      <w:hyperlink r:id="rId1" w:history="1">
        <w:r>
          <w:rPr>
            <w:rStyle w:val="Collegamentoipertestuale"/>
          </w:rPr>
          <w:t>Osservatorio Precariato Inps</w:t>
        </w:r>
      </w:hyperlink>
      <w:r w:rsidRPr="00A51547">
        <w:t xml:space="preserve">). </w:t>
      </w:r>
    </w:p>
  </w:footnote>
  <w:footnote w:id="8">
    <w:p w14:paraId="28270F01" w14:textId="77777777" w:rsidR="00AC2E33" w:rsidRDefault="00AC2E33" w:rsidP="00654324">
      <w:pPr>
        <w:pStyle w:val="Testonotaapidipagina"/>
      </w:pPr>
      <w:r w:rsidRPr="00A51547">
        <w:rPr>
          <w:rStyle w:val="Rimandonotaapidipagina"/>
        </w:rPr>
        <w:footnoteRef/>
      </w:r>
      <w:r w:rsidRPr="00A51547">
        <w:t xml:space="preserve"> Per i lavoratori in somministrazione il rapporto di lavoro può essere a tempo pieno o part time e la giornata lavorativa è conteggiata a</w:t>
      </w:r>
      <w:r w:rsidRPr="000A3369">
        <w:t xml:space="preserve"> prescindere dal regime orario.</w:t>
      </w:r>
    </w:p>
  </w:footnote>
  <w:footnote w:id="9">
    <w:p w14:paraId="2CDAA9C8" w14:textId="0614AC9C" w:rsidR="00AC2E33" w:rsidRDefault="00AC2E33" w:rsidP="00C649F5">
      <w:pPr>
        <w:pStyle w:val="elenco"/>
        <w:numPr>
          <w:ilvl w:val="0"/>
          <w:numId w:val="0"/>
        </w:numPr>
        <w:spacing w:after="0"/>
        <w:ind w:right="-1"/>
      </w:pPr>
      <w:r w:rsidRPr="00C925A0">
        <w:rPr>
          <w:rStyle w:val="Rimandonotaapidipagina"/>
          <w:sz w:val="16"/>
          <w:szCs w:val="16"/>
        </w:rPr>
        <w:footnoteRef/>
      </w:r>
      <w:r w:rsidRPr="00C925A0">
        <w:rPr>
          <w:sz w:val="16"/>
          <w:szCs w:val="16"/>
        </w:rPr>
        <w:t xml:space="preserve"> Le due nuove forme contrattuali sono state introdotte allo scopo di mettere a disposizione del mercato del lavoro strumenti in grado di favorire la gestione dei rapporti subordinati di natura occasionale, sostituendo il lavoro accessorio (voucher) soppresso a marzo 2017.</w:t>
      </w:r>
    </w:p>
  </w:footnote>
  <w:footnote w:id="10">
    <w:p w14:paraId="701DF857" w14:textId="77777777" w:rsidR="00AC2E33" w:rsidRPr="009D7F0B" w:rsidRDefault="00AC2E33" w:rsidP="00C649F5">
      <w:pPr>
        <w:pStyle w:val="Testonotaapidipagina"/>
        <w:rPr>
          <w:rFonts w:cs="Arial"/>
          <w:szCs w:val="16"/>
        </w:rPr>
      </w:pPr>
      <w:r w:rsidRPr="00D3243A">
        <w:rPr>
          <w:rStyle w:val="Rimandonotaapidipagina"/>
          <w:rFonts w:cs="Arial"/>
          <w:szCs w:val="16"/>
        </w:rPr>
        <w:footnoteRef/>
      </w:r>
      <w:r>
        <w:t xml:space="preserve"> </w:t>
      </w:r>
      <w:r w:rsidRPr="00BC6004">
        <w:rPr>
          <w:rFonts w:cs="Arial"/>
          <w:szCs w:val="16"/>
        </w:rPr>
        <w:t>Si precisa che le statistiche sugli infortuni sul lavoro di questo comunicato congiunto si riferiscono normalmente a un intervallo temporale precedente rispetto ai comunicati mensili/trimestrali diffusi dall’Inail che riportano dati dell’ultimo mese disponibile con relativo cumulo rispetto a inizio d’anno.</w:t>
      </w:r>
    </w:p>
  </w:footnote>
  <w:footnote w:id="11">
    <w:p w14:paraId="48CD216F" w14:textId="77777777" w:rsidR="00AC2E33" w:rsidRPr="00680D0C" w:rsidRDefault="00AC2E33" w:rsidP="00C649F5">
      <w:pPr>
        <w:pStyle w:val="NOTA"/>
        <w:spacing w:after="0"/>
        <w:jc w:val="both"/>
      </w:pPr>
      <w:r>
        <w:rPr>
          <w:rStyle w:val="Rimandonotaapidipagina"/>
        </w:rPr>
        <w:footnoteRef/>
      </w:r>
      <w:r>
        <w:t xml:space="preserve"> S</w:t>
      </w:r>
      <w:r w:rsidRPr="00680D0C">
        <w:t>i tratta della denuncia di infortunio, alla quale segue necessariamente un accertamento amministrativo-</w:t>
      </w:r>
      <w:r w:rsidRPr="00351E00">
        <w:t>sanitario e, solo in caso di esito positivo, l’infortunio sarà classificato come effettivamente da lavoro e tutelato.</w:t>
      </w:r>
    </w:p>
  </w:footnote>
  <w:footnote w:id="12">
    <w:p w14:paraId="008874AC" w14:textId="77777777" w:rsidR="00AC2E33" w:rsidRPr="00680D0C" w:rsidRDefault="00AC2E33" w:rsidP="00C649F5">
      <w:pPr>
        <w:pStyle w:val="NOTA"/>
        <w:spacing w:after="0"/>
        <w:jc w:val="both"/>
      </w:pPr>
      <w:r w:rsidRPr="00680D0C">
        <w:rPr>
          <w:rStyle w:val="Rimandonotaapidipagina"/>
        </w:rPr>
        <w:footnoteRef/>
      </w:r>
      <w:r w:rsidRPr="00680D0C">
        <w:t xml:space="preserve"> </w:t>
      </w:r>
      <w:r>
        <w:t xml:space="preserve">Sono considerati infortuni in itinere quelli occorsi nei tragitti casa-lavoro/i-casa, le cui </w:t>
      </w:r>
      <w:r w:rsidRPr="00680D0C">
        <w:t xml:space="preserve">variazioni risentono di molteplici fattori esogeni rispetto all’attività lavorativa in senso stretto, tra cui la variabilità della viabilità (condizionata ad esempio da scioperi dei mezzi pubblici, prezzo dei carburanti, ecc.), dalle condizioni meteo, dallo stato infrastrutturale. </w:t>
      </w:r>
    </w:p>
  </w:footnote>
  <w:footnote w:id="13">
    <w:p w14:paraId="0DF099B1" w14:textId="77777777" w:rsidR="00AC2E33" w:rsidRPr="00680D0C" w:rsidRDefault="00AC2E33" w:rsidP="00C649F5">
      <w:pPr>
        <w:pStyle w:val="NOTA"/>
        <w:spacing w:after="0"/>
        <w:jc w:val="both"/>
      </w:pPr>
      <w:r>
        <w:rPr>
          <w:rStyle w:val="Rimandonotaapidipagina"/>
        </w:rPr>
        <w:footnoteRef/>
      </w:r>
      <w:r>
        <w:t xml:space="preserve"> Le principali gestioni assicurative Inail sono tre: industria e servizi, agricoltura, per conto dello Stato. Nel caso dell’industria e servizi nei confronti per attività economica si è tenuto conto dei casi non ancora codificati. Nell’analisi, l’attività economica dei servizi comprende anche la gestione assicurativa per conto dello Stato.</w:t>
      </w:r>
      <w:r w:rsidRPr="006E666B">
        <w:t xml:space="preserve"> </w:t>
      </w:r>
    </w:p>
  </w:footnote>
  <w:footnote w:id="14">
    <w:p w14:paraId="2B6FBF18" w14:textId="77777777" w:rsidR="00AC2E33" w:rsidRDefault="00AC2E33" w:rsidP="00C13A4E">
      <w:pPr>
        <w:pStyle w:val="Testonotaapidipagina"/>
        <w:spacing w:after="60"/>
      </w:pPr>
      <w:r>
        <w:rPr>
          <w:rStyle w:val="Rimandonotaapidipagina"/>
        </w:rPr>
        <w:footnoteRef/>
      </w:r>
      <w:r>
        <w:t xml:space="preserve"> Si veda la definizione nel glossario.</w:t>
      </w:r>
    </w:p>
  </w:footnote>
  <w:footnote w:id="15">
    <w:p w14:paraId="7902D5DB" w14:textId="77777777" w:rsidR="00AC2E33" w:rsidRDefault="00AC2E33" w:rsidP="00C13A4E">
      <w:pPr>
        <w:pStyle w:val="Testonotaapidipagina"/>
        <w:spacing w:after="60"/>
      </w:pPr>
      <w:r>
        <w:rPr>
          <w:rStyle w:val="Rimandonotaapidipagina"/>
        </w:rPr>
        <w:footnoteRef/>
      </w:r>
      <w:r>
        <w:t xml:space="preserve"> Per semplicità in questa nota metodologica ci si riferisce al totale delle posizioni per cui le trasformazioni da tempo determinato a tempo indeterminato non sono influenti.</w:t>
      </w:r>
    </w:p>
  </w:footnote>
  <w:footnote w:id="16">
    <w:p w14:paraId="7CD3201A" w14:textId="77777777" w:rsidR="00AC2E33" w:rsidRDefault="00AC2E33" w:rsidP="00C13A4E">
      <w:pPr>
        <w:pStyle w:val="Testonotaapidipagina"/>
        <w:spacing w:after="60"/>
      </w:pPr>
      <w:r w:rsidRPr="00680D0C">
        <w:rPr>
          <w:rStyle w:val="Rimandonotaapidipagina"/>
          <w:rFonts w:cs="Arial"/>
          <w:szCs w:val="16"/>
        </w:rPr>
        <w:footnoteRef/>
      </w:r>
      <w:r w:rsidRPr="00680D0C">
        <w:rPr>
          <w:rFonts w:cs="Arial"/>
          <w:szCs w:val="16"/>
        </w:rPr>
        <w:t xml:space="preserve"> Dato che la statistica di interesse è la variazione tra due trimestri, Il numero può essere anche arbitrario in quanto, come si vedrà tra poco, è ininfluente per il calcolo </w:t>
      </w:r>
      <w:r>
        <w:rPr>
          <w:rFonts w:cs="Arial"/>
          <w:szCs w:val="16"/>
        </w:rPr>
        <w:t xml:space="preserve">delle </w:t>
      </w:r>
      <w:r w:rsidRPr="00680D0C">
        <w:rPr>
          <w:rFonts w:cs="Arial"/>
          <w:szCs w:val="16"/>
        </w:rPr>
        <w:t>variazioni. Ad esempio può essere posto a zero.</w:t>
      </w:r>
    </w:p>
  </w:footnote>
  <w:footnote w:id="17">
    <w:p w14:paraId="4A8374DD" w14:textId="77777777" w:rsidR="00AC2E33" w:rsidRDefault="00AC2E33" w:rsidP="00C13A4E">
      <w:pPr>
        <w:pStyle w:val="Testonotaapidipagina"/>
        <w:spacing w:after="60"/>
      </w:pPr>
      <w:r w:rsidRPr="00680D0C">
        <w:rPr>
          <w:rStyle w:val="Rimandonotaapidipagina"/>
          <w:rFonts w:cs="Arial"/>
          <w:szCs w:val="16"/>
        </w:rPr>
        <w:footnoteRef/>
      </w:r>
      <w:r>
        <w:rPr>
          <w:rFonts w:cs="Arial"/>
          <w:szCs w:val="16"/>
        </w:rPr>
        <w:t xml:space="preserve"> D</w:t>
      </w:r>
      <w:r w:rsidRPr="00680D0C">
        <w:rPr>
          <w:rFonts w:cs="Arial"/>
          <w:szCs w:val="16"/>
        </w:rPr>
        <w:t>a questo punto in poi</w:t>
      </w:r>
      <w:r>
        <w:rPr>
          <w:rFonts w:cs="Arial"/>
          <w:szCs w:val="16"/>
        </w:rPr>
        <w:t>,</w:t>
      </w:r>
      <w:r w:rsidRPr="00680D0C">
        <w:rPr>
          <w:rFonts w:cs="Arial"/>
          <w:szCs w:val="16"/>
        </w:rPr>
        <w:t xml:space="preserve"> il suffisso di variabili di </w:t>
      </w:r>
      <w:r w:rsidRPr="006F6B02">
        <w:rPr>
          <w:rFonts w:cs="Arial"/>
          <w:szCs w:val="16"/>
        </w:rPr>
        <w:t xml:space="preserve">stock come le posizioni indica la fine del giorno mentre il suffisso dei flussi, attivazioni e cessazioni, indica il giorno intero. Nel doppio pedice, il primo elemento è il trimestre ed il secondo il giorno all’interno del trimestre. Si indica con </w:t>
      </w:r>
      <w:r w:rsidRPr="006F6B02">
        <w:rPr>
          <w:rFonts w:cs="Arial"/>
          <w:i/>
          <w:szCs w:val="16"/>
        </w:rPr>
        <w:t>f</w:t>
      </w:r>
      <w:r w:rsidRPr="006F6B02">
        <w:rPr>
          <w:rFonts w:cs="Arial"/>
          <w:szCs w:val="16"/>
        </w:rPr>
        <w:t xml:space="preserve"> il numero del giorno finale del trimestre. Ad esempio per il primo trimestre 2016</w:t>
      </w:r>
      <w:r w:rsidRPr="00680D0C">
        <w:rPr>
          <w:rFonts w:cs="Arial"/>
          <w:szCs w:val="16"/>
        </w:rPr>
        <w:t xml:space="preserve">, </w:t>
      </w:r>
      <w:r w:rsidRPr="00680D0C">
        <w:rPr>
          <w:rFonts w:cs="Arial"/>
          <w:i/>
          <w:szCs w:val="16"/>
        </w:rPr>
        <w:t>f</w:t>
      </w:r>
      <w:r w:rsidRPr="00680D0C">
        <w:rPr>
          <w:rFonts w:cs="Arial"/>
          <w:szCs w:val="16"/>
        </w:rPr>
        <w:t>=91.</w:t>
      </w:r>
    </w:p>
  </w:footnote>
  <w:footnote w:id="18">
    <w:p w14:paraId="30272006" w14:textId="77777777" w:rsidR="00AC2E33" w:rsidRDefault="00AC2E33" w:rsidP="00C13A4E">
      <w:pPr>
        <w:pStyle w:val="Testonotaapidipagina"/>
        <w:spacing w:after="60"/>
      </w:pPr>
      <w:r w:rsidRPr="00680D0C">
        <w:rPr>
          <w:rStyle w:val="Rimandonotaapidipagina"/>
          <w:rFonts w:cs="Arial"/>
          <w:szCs w:val="16"/>
        </w:rPr>
        <w:footnoteRef/>
      </w:r>
      <w:r w:rsidRPr="00680D0C">
        <w:rPr>
          <w:rFonts w:cs="Arial"/>
          <w:szCs w:val="16"/>
        </w:rPr>
        <w:t xml:space="preserve"> Gli Enti pubblici economici sono soggetti alla registrazione nel registro delle imprese e si caratterizzano per il fatto di avere come oggetto, in via esclusiva o principale, l’esercizio di un’impresa commerciale avvalendosi pertanto di strumenti privatistici. Gli Enti pubblici economici, un tempo numerosissimi, sono in via di estinzione in quanto sono stati quasi tutti trasformati in società per azioni. Il maggior ente economico ancora attivo è la Cassa depositi e prestiti</w:t>
      </w:r>
      <w:r>
        <w:t>.</w:t>
      </w:r>
    </w:p>
  </w:footnote>
  <w:footnote w:id="19">
    <w:p w14:paraId="68044292" w14:textId="77777777" w:rsidR="00AC2E33" w:rsidRDefault="00AC2E33" w:rsidP="00C13A4E">
      <w:pPr>
        <w:pStyle w:val="NOTA"/>
        <w:jc w:val="both"/>
      </w:pPr>
      <w:r>
        <w:rPr>
          <w:rStyle w:val="Rimandonotaapidipagina"/>
          <w:rFonts w:cs="Arial"/>
        </w:rPr>
        <w:footnoteRef/>
      </w:r>
      <w:r>
        <w:t xml:space="preserve"> Negli anni 2013 e 2014 il rapporto tra lavoratori assunti e nuovi rapporti (assunzioni) è stato rispettivamente del 71% e 70%; il rapporto tra lavoratori cessati e rapporti di lavoro conclusi (cessazioni) è stato del 72% e 71%.</w:t>
      </w:r>
    </w:p>
  </w:footnote>
  <w:footnote w:id="20">
    <w:p w14:paraId="067AC451" w14:textId="77777777" w:rsidR="00AC2E33" w:rsidRDefault="00AC2E33" w:rsidP="00C13A4E">
      <w:pPr>
        <w:pStyle w:val="NOTA"/>
        <w:jc w:val="both"/>
      </w:pPr>
      <w:r>
        <w:rPr>
          <w:rStyle w:val="Rimandonotaapidipagina"/>
          <w:rFonts w:cs="Arial"/>
        </w:rPr>
        <w:footnoteRef/>
      </w:r>
      <w:r>
        <w:t xml:space="preserve"> </w:t>
      </w:r>
      <w:r w:rsidRPr="00FE25C1">
        <w:t>Per i contratti di apprendistato la nozione di trasformazione si riferisce al superamento del periodo formativo con conseguente “normalizzazione” del rapporto di lavoro</w:t>
      </w:r>
      <w:r>
        <w:t>.</w:t>
      </w:r>
    </w:p>
  </w:footnote>
  <w:footnote w:id="21">
    <w:p w14:paraId="2ECA12C5" w14:textId="77777777" w:rsidR="00AC2E33" w:rsidRDefault="00AC2E33" w:rsidP="006F0567">
      <w:pPr>
        <w:pStyle w:val="NOTA"/>
        <w:jc w:val="both"/>
      </w:pPr>
      <w:r>
        <w:rPr>
          <w:rStyle w:val="Rimandonotaapidipagina"/>
          <w:rFonts w:cs="Arial"/>
        </w:rPr>
        <w:footnoteRef/>
      </w:r>
      <w:r w:rsidRPr="00AC5F7B">
        <w:rPr>
          <w:sz w:val="18"/>
          <w:szCs w:val="18"/>
        </w:rPr>
        <w:t xml:space="preserve"> </w:t>
      </w:r>
      <w:r w:rsidRPr="003B120C">
        <w:t>Nel</w:t>
      </w:r>
      <w:r>
        <w:t xml:space="preserve"> prospetto si fa riferimento al campo di osservazione delle principali fonti dell’occupazione, con particolare riguardo alle scelte operate per la pubblicazione dei dati nelle diverse forme di pubblicazione (comunicato stampa/ osservatorio).</w:t>
      </w:r>
    </w:p>
  </w:footnote>
  <w:footnote w:id="22">
    <w:p w14:paraId="193EE403" w14:textId="77777777" w:rsidR="00AC2E33" w:rsidRDefault="00AC2E33" w:rsidP="006F0567">
      <w:pPr>
        <w:pStyle w:val="NOTA"/>
        <w:jc w:val="both"/>
      </w:pPr>
      <w:r w:rsidRPr="00F43DAD">
        <w:rPr>
          <w:rStyle w:val="Rimandonotaapidipagina"/>
          <w:rFonts w:cs="Arial"/>
        </w:rPr>
        <w:footnoteRef/>
      </w:r>
      <w:r w:rsidRPr="00F43DAD">
        <w:rPr>
          <w:rStyle w:val="Rimandonotaapidipagina"/>
          <w:rFonts w:cs="Arial"/>
        </w:rPr>
        <w:t xml:space="preserve"> </w:t>
      </w:r>
      <w:r w:rsidRPr="00215508">
        <w:t>Nella fonte CO, per quanto riguarda il lavoro parasubordinato, sono incluse le collaborazioni a progetto, coordinate e continuative, occasionali (facenti riferimento all’art. 61, comma 2, del decreto legislativo n. 276/</w:t>
      </w:r>
      <w:r w:rsidRPr="00E9161E">
        <w:t>03, oggi abrogato</w:t>
      </w:r>
      <w:r w:rsidRPr="00215508">
        <w:t>, ma che continuerà ad applicarsi ai contratti già in atto al 25 giugno 2015</w:t>
      </w:r>
      <w:r>
        <w:t>)</w:t>
      </w:r>
      <w:r w:rsidRPr="00215508">
        <w:t>.</w:t>
      </w:r>
    </w:p>
  </w:footnote>
  <w:footnote w:id="23">
    <w:p w14:paraId="1CBE15C4" w14:textId="77777777" w:rsidR="00AC2E33" w:rsidRDefault="00AC2E33" w:rsidP="00EB2DE7">
      <w:pPr>
        <w:pStyle w:val="NOTA"/>
        <w:jc w:val="both"/>
      </w:pPr>
      <w:r>
        <w:rPr>
          <w:rStyle w:val="Rimandonotaapidipagina"/>
          <w:rFonts w:cs="Arial"/>
        </w:rPr>
        <w:footnoteRef/>
      </w:r>
      <w:r>
        <w:t xml:space="preserve"> </w:t>
      </w:r>
      <w:r w:rsidRPr="005B23D8">
        <w:t>Attualmente viene incluso nelle elaborazioni solo il modulo UNILAV; mentre verranno utilizzati in futuro anche i moduli UNISOM e UNIMARE.</w:t>
      </w:r>
    </w:p>
  </w:footnote>
  <w:footnote w:id="24">
    <w:p w14:paraId="680F8C92" w14:textId="0F8894C0" w:rsidR="00AC2E33" w:rsidRDefault="00AC2E33" w:rsidP="00C13A4E">
      <w:pPr>
        <w:spacing w:before="40" w:after="40"/>
      </w:pPr>
      <w:r w:rsidRPr="00B618B7">
        <w:rPr>
          <w:rStyle w:val="Rimandonotaapidipagina"/>
          <w:rFonts w:cs="Arial"/>
          <w:sz w:val="16"/>
          <w:szCs w:val="16"/>
        </w:rPr>
        <w:footnoteRef/>
      </w:r>
      <w:r w:rsidRPr="00B618B7">
        <w:rPr>
          <w:rFonts w:cs="Arial"/>
          <w:sz w:val="16"/>
          <w:szCs w:val="16"/>
        </w:rPr>
        <w:t xml:space="preserve"> </w:t>
      </w:r>
      <w:r w:rsidRPr="00B618B7">
        <w:rPr>
          <w:rStyle w:val="NOTACarattere"/>
        </w:rPr>
        <w:t>La matricola I</w:t>
      </w:r>
      <w:r>
        <w:rPr>
          <w:rStyle w:val="NOTACarattere"/>
        </w:rPr>
        <w:t>nps</w:t>
      </w:r>
      <w:r w:rsidRPr="00B618B7">
        <w:rPr>
          <w:rStyle w:val="NOTACarattere"/>
        </w:rPr>
        <w:t xml:space="preserve"> è composta da una sequenza numerica di 10 cifre. Le prime due sono relative alla sede Inps, le cifre dalla terza all'ottava rappresentano un progressivo, le ultime due cifre sono un contro-codice calcolato sulle otto cifre precedenti in modo da evitare errori di trascrizione nella matricola aziendale).</w:t>
      </w:r>
    </w:p>
  </w:footnote>
  <w:footnote w:id="25">
    <w:p w14:paraId="20AD9302" w14:textId="77777777" w:rsidR="00AC2E33" w:rsidRDefault="00AC2E33" w:rsidP="00C13A4E">
      <w:pPr>
        <w:pStyle w:val="NOTA"/>
        <w:jc w:val="both"/>
      </w:pPr>
      <w:r w:rsidRPr="00680D0C">
        <w:rPr>
          <w:rStyle w:val="Rimandonotaapidipagina"/>
          <w:rFonts w:cs="Arial"/>
        </w:rPr>
        <w:footnoteRef/>
      </w:r>
      <w:r w:rsidRPr="00680D0C">
        <w:rPr>
          <w:rStyle w:val="Rimandonotaapidipagina"/>
          <w:rFonts w:cs="Arial"/>
        </w:rPr>
        <w:t xml:space="preserve"> </w:t>
      </w:r>
      <w:r w:rsidRPr="00680D0C">
        <w:t>Si parla di “rapporti di lavoro agevolati” per riferirsi a quelli che, ad es. con la legge di stabilità del 2016, sono stati attivati dalle aziende che hanno beneficiato di una nuova forma di incentivo rivolta alle assunzioni a t. indeterminato e alle trasformazioni di rapporti a termine di lavoratori che, nei 6 mesi precedenti, non hanno avuto rapporti a t. indeterminato. La misura dell’agevolazione prevede l’abbattimento dei contributi previdenziali a carico del datore di lavoro (esclusi i premi Inail) in misura pari al 40% (entro il limite annuo di 3.250 euro) per un biennio dalla data di assunzione.</w:t>
      </w:r>
    </w:p>
  </w:footnote>
  <w:footnote w:id="26">
    <w:p w14:paraId="3DED6987" w14:textId="77777777" w:rsidR="00AC2E33" w:rsidRPr="00680D0C" w:rsidRDefault="00AC2E33" w:rsidP="00C13A4E">
      <w:pPr>
        <w:pStyle w:val="NOTA"/>
        <w:jc w:val="both"/>
      </w:pPr>
      <w:r w:rsidRPr="00680D0C">
        <w:rPr>
          <w:rStyle w:val="Rimandonotaapidipagina"/>
          <w:rFonts w:cs="Arial"/>
        </w:rPr>
        <w:footnoteRef/>
      </w:r>
      <w:r w:rsidRPr="00680D0C">
        <w:t xml:space="preserve"> Variazione netta dei rapporti a tempo indeterminato: +assunzioni a tempo indeterminato + trasformazioni a tempo indeterminato dei rapporti a termine +apprendisti trasformati a tempo indeterminato - cessazioni a tempo indeterminato.</w:t>
      </w:r>
    </w:p>
    <w:p w14:paraId="57F6238D" w14:textId="77777777" w:rsidR="00AC2E33" w:rsidRPr="00680D0C" w:rsidRDefault="00AC2E33" w:rsidP="00C13A4E">
      <w:pPr>
        <w:pStyle w:val="NOTA"/>
        <w:jc w:val="both"/>
      </w:pPr>
      <w:r w:rsidRPr="00680D0C">
        <w:t>(Variazione netta dei rapporti a tempo determinato: +assunzioni a tempo determinato - trasformazioni a tempo indeterminato dei rapporti a termine (al netto degli stagionali) - cessazioni a tempo determinato.</w:t>
      </w:r>
    </w:p>
    <w:p w14:paraId="18BECB51" w14:textId="77777777" w:rsidR="00AC2E33" w:rsidRPr="00680D0C" w:rsidRDefault="00AC2E33" w:rsidP="00C13A4E">
      <w:pPr>
        <w:pStyle w:val="NOTA"/>
        <w:jc w:val="both"/>
      </w:pPr>
      <w:r w:rsidRPr="00680D0C">
        <w:t>Variazione netta dei rapporti di lavoro in apprendistato: +assunzioni in apprendistato - apprendisti trasformati a tempo indeterminato (al netto degli stagionali) -cessazioni di apprendisti.</w:t>
      </w:r>
    </w:p>
    <w:p w14:paraId="6A8A95E6" w14:textId="77777777" w:rsidR="00AC2E33" w:rsidRDefault="00AC2E33" w:rsidP="00C13A4E">
      <w:pPr>
        <w:pStyle w:val="NOTA"/>
        <w:jc w:val="both"/>
      </w:pPr>
      <w:r w:rsidRPr="00680D0C">
        <w:t xml:space="preserve">Variazione netta dei rapporti di lavoro stagionali: +assunzioni stagionali - trasformazioni a tempo indeterminato (quota dei soli stagionali) – apprendisti trasformati a tempo indeterminato (quota dei soli stagionali) - cessazioni di stagionali.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3881" w14:textId="77777777" w:rsidR="00AC2E33" w:rsidRDefault="00AC2E33" w:rsidP="005771BE">
    <w:pPr>
      <w:pStyle w:val="Intestazione"/>
    </w:pPr>
    <w:r>
      <w:rPr>
        <w:noProof/>
        <w:lang w:eastAsia="it-IT"/>
      </w:rPr>
      <w:drawing>
        <wp:anchor distT="0" distB="0" distL="114300" distR="114300" simplePos="0" relativeHeight="251658240" behindDoc="1" locked="0" layoutInCell="1" allowOverlap="1" wp14:anchorId="53ADFC2F" wp14:editId="54B08A3D">
          <wp:simplePos x="0" y="0"/>
          <wp:positionH relativeFrom="column">
            <wp:posOffset>-15240</wp:posOffset>
          </wp:positionH>
          <wp:positionV relativeFrom="paragraph">
            <wp:posOffset>107950</wp:posOffset>
          </wp:positionV>
          <wp:extent cx="826770" cy="747395"/>
          <wp:effectExtent l="0" t="0" r="0" b="0"/>
          <wp:wrapNone/>
          <wp:docPr id="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
                    <a:extLst>
                      <a:ext uri="{28A0092B-C50C-407E-A947-70E740481C1C}">
                        <a14:useLocalDpi xmlns:a14="http://schemas.microsoft.com/office/drawing/2010/main" val="0"/>
                      </a:ext>
                    </a:extLst>
                  </a:blip>
                  <a:srcRect t="9630"/>
                  <a:stretch>
                    <a:fillRect/>
                  </a:stretch>
                </pic:blipFill>
                <pic:spPr bwMode="auto">
                  <a:xfrm>
                    <a:off x="0" y="0"/>
                    <a:ext cx="82677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1" locked="0" layoutInCell="1" allowOverlap="1" wp14:anchorId="13B426F8" wp14:editId="0147C5A6">
          <wp:simplePos x="0" y="0"/>
          <wp:positionH relativeFrom="column">
            <wp:posOffset>859155</wp:posOffset>
          </wp:positionH>
          <wp:positionV relativeFrom="paragraph">
            <wp:posOffset>635</wp:posOffset>
          </wp:positionV>
          <wp:extent cx="1304290" cy="835025"/>
          <wp:effectExtent l="0" t="0" r="0" b="3175"/>
          <wp:wrapNone/>
          <wp:docPr id="4" name="Immagine 3" descr="C:\Users\tononi\AppData\Local\Microsoft\Windows\Temporary Internet Files\Content.IE5\ZWIMI8CE\Logo a colori in alta risoluzione con denominazione comple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tononi\AppData\Local\Microsoft\Windows\Temporary Internet Files\Content.IE5\ZWIMI8CE\Logo a colori in alta risoluzione con denominazione completa.tif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290" cy="835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48" w:type="dxa"/>
      <w:tblLayout w:type="fixed"/>
      <w:tblLook w:val="00A0" w:firstRow="1" w:lastRow="0" w:firstColumn="1" w:lastColumn="0" w:noHBand="0" w:noVBand="0"/>
    </w:tblPr>
    <w:tblGrid>
      <w:gridCol w:w="1242"/>
      <w:gridCol w:w="2127"/>
      <w:gridCol w:w="2268"/>
      <w:gridCol w:w="2126"/>
      <w:gridCol w:w="1985"/>
    </w:tblGrid>
    <w:tr w:rsidR="00AC2E33" w:rsidRPr="009C5D6F" w14:paraId="7326CAEF" w14:textId="77777777" w:rsidTr="009C5D6F">
      <w:tc>
        <w:tcPr>
          <w:tcW w:w="1242" w:type="dxa"/>
        </w:tcPr>
        <w:p w14:paraId="24DC8B46" w14:textId="77777777" w:rsidR="00AC2E33" w:rsidRPr="009C5D6F" w:rsidRDefault="00AC2E33" w:rsidP="009C5D6F">
          <w:pPr>
            <w:pStyle w:val="Intestazione"/>
            <w:ind w:left="-142"/>
            <w:jc w:val="left"/>
            <w:rPr>
              <w:szCs w:val="20"/>
              <w:lang w:eastAsia="it-IT"/>
            </w:rPr>
          </w:pPr>
        </w:p>
      </w:tc>
      <w:tc>
        <w:tcPr>
          <w:tcW w:w="2127" w:type="dxa"/>
        </w:tcPr>
        <w:p w14:paraId="3BD7D12D" w14:textId="77777777" w:rsidR="00AC2E33" w:rsidRPr="009C5D6F" w:rsidRDefault="00AC2E33" w:rsidP="009C5D6F">
          <w:pPr>
            <w:pStyle w:val="Intestazione"/>
            <w:jc w:val="center"/>
            <w:rPr>
              <w:szCs w:val="20"/>
              <w:lang w:eastAsia="it-IT"/>
            </w:rPr>
          </w:pPr>
        </w:p>
      </w:tc>
      <w:tc>
        <w:tcPr>
          <w:tcW w:w="2268" w:type="dxa"/>
        </w:tcPr>
        <w:p w14:paraId="61806F88" w14:textId="77777777" w:rsidR="00AC2E33" w:rsidRPr="009C5D6F" w:rsidRDefault="00AC2E33" w:rsidP="009C5D6F">
          <w:pPr>
            <w:pStyle w:val="Intestazione"/>
            <w:ind w:left="-108"/>
            <w:rPr>
              <w:szCs w:val="20"/>
              <w:lang w:eastAsia="it-IT"/>
            </w:rPr>
          </w:pPr>
          <w:r w:rsidRPr="009C5D6F">
            <w:rPr>
              <w:noProof/>
              <w:szCs w:val="20"/>
              <w:lang w:eastAsia="it-IT"/>
            </w:rPr>
            <w:drawing>
              <wp:inline distT="0" distB="0" distL="0" distR="0" wp14:anchorId="397624B5" wp14:editId="046AFE76">
                <wp:extent cx="1420495" cy="756285"/>
                <wp:effectExtent l="0" t="0" r="0" b="5715"/>
                <wp:docPr id="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0495" cy="756285"/>
                        </a:xfrm>
                        <a:prstGeom prst="rect">
                          <a:avLst/>
                        </a:prstGeom>
                        <a:noFill/>
                        <a:ln>
                          <a:noFill/>
                        </a:ln>
                      </pic:spPr>
                    </pic:pic>
                  </a:graphicData>
                </a:graphic>
              </wp:inline>
            </w:drawing>
          </w:r>
        </w:p>
      </w:tc>
      <w:tc>
        <w:tcPr>
          <w:tcW w:w="2126" w:type="dxa"/>
        </w:tcPr>
        <w:p w14:paraId="1743997D" w14:textId="77777777" w:rsidR="00AC2E33" w:rsidRPr="009C5D6F" w:rsidRDefault="00AC2E33" w:rsidP="009C5D6F">
          <w:pPr>
            <w:pStyle w:val="Intestazione"/>
            <w:ind w:left="-49"/>
            <w:jc w:val="left"/>
            <w:rPr>
              <w:szCs w:val="20"/>
              <w:lang w:eastAsia="it-IT"/>
            </w:rPr>
          </w:pPr>
          <w:r w:rsidRPr="009C5D6F">
            <w:rPr>
              <w:noProof/>
              <w:szCs w:val="20"/>
              <w:lang w:eastAsia="it-IT"/>
            </w:rPr>
            <w:drawing>
              <wp:inline distT="0" distB="0" distL="0" distR="0" wp14:anchorId="17B0B77B" wp14:editId="717BAF84">
                <wp:extent cx="983343" cy="440479"/>
                <wp:effectExtent l="0" t="0" r="7620" b="0"/>
                <wp:docPr id="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486" cy="444127"/>
                        </a:xfrm>
                        <a:prstGeom prst="rect">
                          <a:avLst/>
                        </a:prstGeom>
                        <a:noFill/>
                        <a:ln>
                          <a:noFill/>
                        </a:ln>
                      </pic:spPr>
                    </pic:pic>
                  </a:graphicData>
                </a:graphic>
              </wp:inline>
            </w:drawing>
          </w:r>
        </w:p>
      </w:tc>
      <w:tc>
        <w:tcPr>
          <w:tcW w:w="1985" w:type="dxa"/>
        </w:tcPr>
        <w:p w14:paraId="1764052A" w14:textId="77777777" w:rsidR="00AC2E33" w:rsidRPr="009C5D6F" w:rsidRDefault="00AC2E33" w:rsidP="009C5D6F">
          <w:pPr>
            <w:pStyle w:val="Intestazione"/>
            <w:ind w:left="-72"/>
            <w:jc w:val="center"/>
            <w:rPr>
              <w:noProof/>
              <w:szCs w:val="20"/>
              <w:lang w:eastAsia="it-IT"/>
            </w:rPr>
          </w:pPr>
          <w:r w:rsidRPr="009C5D6F">
            <w:rPr>
              <w:noProof/>
              <w:szCs w:val="20"/>
              <w:lang w:eastAsia="it-IT"/>
            </w:rPr>
            <w:drawing>
              <wp:inline distT="0" distB="0" distL="0" distR="0" wp14:anchorId="31093FE2" wp14:editId="4AE48E5A">
                <wp:extent cx="1251585" cy="435610"/>
                <wp:effectExtent l="0" t="0" r="5715" b="2540"/>
                <wp:docPr id="3" name="Immagine 2" descr="C:\Users\lifagiol\Desktop\logo-An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lifagiol\Desktop\logo-Anp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1585" cy="435610"/>
                        </a:xfrm>
                        <a:prstGeom prst="rect">
                          <a:avLst/>
                        </a:prstGeom>
                        <a:noFill/>
                        <a:ln>
                          <a:noFill/>
                        </a:ln>
                      </pic:spPr>
                    </pic:pic>
                  </a:graphicData>
                </a:graphic>
              </wp:inline>
            </w:drawing>
          </w:r>
        </w:p>
      </w:tc>
    </w:tr>
  </w:tbl>
  <w:p w14:paraId="7E54FAA1" w14:textId="77777777" w:rsidR="00AC2E33" w:rsidRDefault="00AC2E33" w:rsidP="0042357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77124"/>
    <w:multiLevelType w:val="hybridMultilevel"/>
    <w:tmpl w:val="7F6E0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B62E04"/>
    <w:multiLevelType w:val="hybridMultilevel"/>
    <w:tmpl w:val="0F8023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E90B6B"/>
    <w:multiLevelType w:val="hybridMultilevel"/>
    <w:tmpl w:val="E5BABCF0"/>
    <w:lvl w:ilvl="0" w:tplc="04100001">
      <w:start w:val="1"/>
      <w:numFmt w:val="bullet"/>
      <w:lvlText w:val=""/>
      <w:lvlJc w:val="left"/>
      <w:pPr>
        <w:ind w:left="763" w:hanging="360"/>
      </w:pPr>
      <w:rPr>
        <w:rFonts w:ascii="Symbol" w:hAnsi="Symbol" w:hint="default"/>
      </w:rPr>
    </w:lvl>
    <w:lvl w:ilvl="1" w:tplc="04100003" w:tentative="1">
      <w:start w:val="1"/>
      <w:numFmt w:val="bullet"/>
      <w:lvlText w:val="o"/>
      <w:lvlJc w:val="left"/>
      <w:pPr>
        <w:ind w:left="1483" w:hanging="360"/>
      </w:pPr>
      <w:rPr>
        <w:rFonts w:ascii="Courier New" w:hAnsi="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3" w15:restartNumberingAfterBreak="0">
    <w:nsid w:val="0CE6732A"/>
    <w:multiLevelType w:val="hybridMultilevel"/>
    <w:tmpl w:val="8F0C67FE"/>
    <w:lvl w:ilvl="0" w:tplc="E90C1C00">
      <w:start w:val="1"/>
      <w:numFmt w:val="bullet"/>
      <w:pStyle w:val="elenco"/>
      <w:lvlText w:val=""/>
      <w:lvlJc w:val="left"/>
      <w:pPr>
        <w:tabs>
          <w:tab w:val="num" w:pos="720"/>
        </w:tabs>
        <w:ind w:left="720" w:hanging="360"/>
      </w:pPr>
      <w:rPr>
        <w:rFonts w:ascii="Wingdings" w:hAnsi="Wingdings" w:hint="default"/>
        <w:color w:val="17365D"/>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F78D4"/>
    <w:multiLevelType w:val="hybridMultilevel"/>
    <w:tmpl w:val="629EBC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428D1"/>
    <w:multiLevelType w:val="hybridMultilevel"/>
    <w:tmpl w:val="05645088"/>
    <w:lvl w:ilvl="0" w:tplc="04100019">
      <w:start w:val="1"/>
      <w:numFmt w:val="low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0F87D4A"/>
    <w:multiLevelType w:val="hybridMultilevel"/>
    <w:tmpl w:val="C8249E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187BC4"/>
    <w:multiLevelType w:val="hybridMultilevel"/>
    <w:tmpl w:val="A1F849BC"/>
    <w:lvl w:ilvl="0" w:tplc="7C9E46D8">
      <w:start w:val="1"/>
      <w:numFmt w:val="bullet"/>
      <w:lvlText w:val=""/>
      <w:lvlJc w:val="left"/>
      <w:pPr>
        <w:tabs>
          <w:tab w:val="num" w:pos="720"/>
        </w:tabs>
        <w:ind w:left="720" w:hanging="360"/>
      </w:pPr>
      <w:rPr>
        <w:rFonts w:ascii="Wingdings" w:hAnsi="Wingdings" w:hint="default"/>
        <w:color w:val="17365D"/>
        <w:sz w:val="28"/>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AE6F68"/>
    <w:multiLevelType w:val="hybridMultilevel"/>
    <w:tmpl w:val="51F0F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3271E4B"/>
    <w:multiLevelType w:val="hybridMultilevel"/>
    <w:tmpl w:val="D1B46A7A"/>
    <w:lvl w:ilvl="0" w:tplc="04100001">
      <w:start w:val="1"/>
      <w:numFmt w:val="bullet"/>
      <w:lvlText w:val=""/>
      <w:lvlJc w:val="left"/>
      <w:pPr>
        <w:ind w:left="5606" w:hanging="360"/>
      </w:pPr>
      <w:rPr>
        <w:rFonts w:ascii="Symbol" w:hAnsi="Symbol" w:hint="default"/>
      </w:rPr>
    </w:lvl>
    <w:lvl w:ilvl="1" w:tplc="04100003" w:tentative="1">
      <w:start w:val="1"/>
      <w:numFmt w:val="bullet"/>
      <w:lvlText w:val="o"/>
      <w:lvlJc w:val="left"/>
      <w:pPr>
        <w:ind w:left="6326" w:hanging="360"/>
      </w:pPr>
      <w:rPr>
        <w:rFonts w:ascii="Courier New" w:hAnsi="Courier New" w:hint="default"/>
      </w:rPr>
    </w:lvl>
    <w:lvl w:ilvl="2" w:tplc="04100005" w:tentative="1">
      <w:start w:val="1"/>
      <w:numFmt w:val="bullet"/>
      <w:lvlText w:val=""/>
      <w:lvlJc w:val="left"/>
      <w:pPr>
        <w:ind w:left="7046" w:hanging="360"/>
      </w:pPr>
      <w:rPr>
        <w:rFonts w:ascii="Wingdings" w:hAnsi="Wingdings" w:hint="default"/>
      </w:rPr>
    </w:lvl>
    <w:lvl w:ilvl="3" w:tplc="04100001" w:tentative="1">
      <w:start w:val="1"/>
      <w:numFmt w:val="bullet"/>
      <w:lvlText w:val=""/>
      <w:lvlJc w:val="left"/>
      <w:pPr>
        <w:ind w:left="7766" w:hanging="360"/>
      </w:pPr>
      <w:rPr>
        <w:rFonts w:ascii="Symbol" w:hAnsi="Symbol" w:hint="default"/>
      </w:rPr>
    </w:lvl>
    <w:lvl w:ilvl="4" w:tplc="04100003" w:tentative="1">
      <w:start w:val="1"/>
      <w:numFmt w:val="bullet"/>
      <w:lvlText w:val="o"/>
      <w:lvlJc w:val="left"/>
      <w:pPr>
        <w:ind w:left="8486" w:hanging="360"/>
      </w:pPr>
      <w:rPr>
        <w:rFonts w:ascii="Courier New" w:hAnsi="Courier New" w:hint="default"/>
      </w:rPr>
    </w:lvl>
    <w:lvl w:ilvl="5" w:tplc="04100005" w:tentative="1">
      <w:start w:val="1"/>
      <w:numFmt w:val="bullet"/>
      <w:lvlText w:val=""/>
      <w:lvlJc w:val="left"/>
      <w:pPr>
        <w:ind w:left="9206" w:hanging="360"/>
      </w:pPr>
      <w:rPr>
        <w:rFonts w:ascii="Wingdings" w:hAnsi="Wingdings" w:hint="default"/>
      </w:rPr>
    </w:lvl>
    <w:lvl w:ilvl="6" w:tplc="04100001" w:tentative="1">
      <w:start w:val="1"/>
      <w:numFmt w:val="bullet"/>
      <w:lvlText w:val=""/>
      <w:lvlJc w:val="left"/>
      <w:pPr>
        <w:ind w:left="9926" w:hanging="360"/>
      </w:pPr>
      <w:rPr>
        <w:rFonts w:ascii="Symbol" w:hAnsi="Symbol" w:hint="default"/>
      </w:rPr>
    </w:lvl>
    <w:lvl w:ilvl="7" w:tplc="04100003" w:tentative="1">
      <w:start w:val="1"/>
      <w:numFmt w:val="bullet"/>
      <w:lvlText w:val="o"/>
      <w:lvlJc w:val="left"/>
      <w:pPr>
        <w:ind w:left="10646" w:hanging="360"/>
      </w:pPr>
      <w:rPr>
        <w:rFonts w:ascii="Courier New" w:hAnsi="Courier New" w:hint="default"/>
      </w:rPr>
    </w:lvl>
    <w:lvl w:ilvl="8" w:tplc="04100005" w:tentative="1">
      <w:start w:val="1"/>
      <w:numFmt w:val="bullet"/>
      <w:lvlText w:val=""/>
      <w:lvlJc w:val="left"/>
      <w:pPr>
        <w:ind w:left="11366" w:hanging="360"/>
      </w:pPr>
      <w:rPr>
        <w:rFonts w:ascii="Wingdings" w:hAnsi="Wingdings" w:hint="default"/>
      </w:rPr>
    </w:lvl>
  </w:abstractNum>
  <w:abstractNum w:abstractNumId="10" w15:restartNumberingAfterBreak="0">
    <w:nsid w:val="343B6F04"/>
    <w:multiLevelType w:val="hybridMultilevel"/>
    <w:tmpl w:val="9BAEF43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D64449"/>
    <w:multiLevelType w:val="hybridMultilevel"/>
    <w:tmpl w:val="01B2645E"/>
    <w:lvl w:ilvl="0" w:tplc="AAFE6AF0">
      <w:numFmt w:val="bullet"/>
      <w:lvlText w:val=""/>
      <w:lvlJc w:val="left"/>
      <w:pPr>
        <w:ind w:left="720" w:hanging="360"/>
      </w:pPr>
      <w:rPr>
        <w:rFonts w:ascii="Wingdings" w:eastAsia="Times New Roman"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275443"/>
    <w:multiLevelType w:val="hybridMultilevel"/>
    <w:tmpl w:val="C8805AE0"/>
    <w:lvl w:ilvl="0" w:tplc="04100001">
      <w:start w:val="1"/>
      <w:numFmt w:val="bullet"/>
      <w:lvlText w:val=""/>
      <w:lvlJc w:val="left"/>
      <w:pPr>
        <w:ind w:left="763" w:hanging="360"/>
      </w:pPr>
      <w:rPr>
        <w:rFonts w:ascii="Symbol" w:hAnsi="Symbol" w:hint="default"/>
      </w:rPr>
    </w:lvl>
    <w:lvl w:ilvl="1" w:tplc="04100003" w:tentative="1">
      <w:start w:val="1"/>
      <w:numFmt w:val="bullet"/>
      <w:lvlText w:val="o"/>
      <w:lvlJc w:val="left"/>
      <w:pPr>
        <w:ind w:left="1483" w:hanging="360"/>
      </w:pPr>
      <w:rPr>
        <w:rFonts w:ascii="Courier New" w:hAnsi="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13" w15:restartNumberingAfterBreak="0">
    <w:nsid w:val="64C0773E"/>
    <w:multiLevelType w:val="hybridMultilevel"/>
    <w:tmpl w:val="9072DE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FAB5163"/>
    <w:multiLevelType w:val="hybridMultilevel"/>
    <w:tmpl w:val="323A5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47E6230"/>
    <w:multiLevelType w:val="hybridMultilevel"/>
    <w:tmpl w:val="11C2AE0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5E34E54"/>
    <w:multiLevelType w:val="hybridMultilevel"/>
    <w:tmpl w:val="87D4437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13"/>
  </w:num>
  <w:num w:numId="4">
    <w:abstractNumId w:val="10"/>
  </w:num>
  <w:num w:numId="5">
    <w:abstractNumId w:val="2"/>
  </w:num>
  <w:num w:numId="6">
    <w:abstractNumId w:val="1"/>
  </w:num>
  <w:num w:numId="7">
    <w:abstractNumId w:val="9"/>
  </w:num>
  <w:num w:numId="8">
    <w:abstractNumId w:val="0"/>
  </w:num>
  <w:num w:numId="9">
    <w:abstractNumId w:val="14"/>
  </w:num>
  <w:num w:numId="10">
    <w:abstractNumId w:val="8"/>
  </w:num>
  <w:num w:numId="11">
    <w:abstractNumId w:val="6"/>
  </w:num>
  <w:num w:numId="12">
    <w:abstractNumId w:val="12"/>
  </w:num>
  <w:num w:numId="13">
    <w:abstractNumId w:val="4"/>
  </w:num>
  <w:num w:numId="14">
    <w:abstractNumId w:val="16"/>
  </w:num>
  <w:num w:numId="15">
    <w:abstractNumId w:val="5"/>
  </w:num>
  <w:num w:numId="16">
    <w:abstractNumId w:val="7"/>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6" w:nlCheck="1" w:checkStyle="0"/>
  <w:activeWritingStyle w:appName="MSWord" w:lang="en-US" w:vendorID="64" w:dllVersion="6" w:nlCheck="1" w:checkStyle="1"/>
  <w:activeWritingStyle w:appName="MSWord" w:lang="it-IT" w:vendorID="64" w:dllVersion="0" w:nlCheck="1" w:checkStyle="0"/>
  <w:activeWritingStyle w:appName="MSWord" w:lang="en-US" w:vendorID="64" w:dllVersion="0" w:nlCheck="1" w:checkStyle="0"/>
  <w:activeWritingStyle w:appName="MSWord" w:lang="it-IT" w:vendorID="64" w:dllVersion="131078" w:nlCheck="1" w:checkStyle="0"/>
  <w:activeWritingStyle w:appName="MSWord" w:lang="en-US" w:vendorID="64" w:dllVersion="131078" w:nlCheck="1" w:checkStyle="1"/>
  <w:defaultTabStop w:val="709"/>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673be78-bad9-453e-ade3-2a5564cdcfe0"/>
  </w:docVars>
  <w:rsids>
    <w:rsidRoot w:val="00CA3D56"/>
    <w:rsid w:val="000001A2"/>
    <w:rsid w:val="000003E4"/>
    <w:rsid w:val="00000CBE"/>
    <w:rsid w:val="00002091"/>
    <w:rsid w:val="000022DC"/>
    <w:rsid w:val="00005710"/>
    <w:rsid w:val="000059FE"/>
    <w:rsid w:val="0000709A"/>
    <w:rsid w:val="00010936"/>
    <w:rsid w:val="00010A6F"/>
    <w:rsid w:val="0001189F"/>
    <w:rsid w:val="00014B9D"/>
    <w:rsid w:val="00014E4B"/>
    <w:rsid w:val="00016D4D"/>
    <w:rsid w:val="000173A6"/>
    <w:rsid w:val="000176F9"/>
    <w:rsid w:val="00017717"/>
    <w:rsid w:val="00017745"/>
    <w:rsid w:val="00020042"/>
    <w:rsid w:val="00020322"/>
    <w:rsid w:val="000222E4"/>
    <w:rsid w:val="00022961"/>
    <w:rsid w:val="000229BA"/>
    <w:rsid w:val="00023518"/>
    <w:rsid w:val="00023B3A"/>
    <w:rsid w:val="00024C5A"/>
    <w:rsid w:val="00024D5B"/>
    <w:rsid w:val="00026242"/>
    <w:rsid w:val="00026578"/>
    <w:rsid w:val="00027303"/>
    <w:rsid w:val="00027683"/>
    <w:rsid w:val="00027688"/>
    <w:rsid w:val="00027A79"/>
    <w:rsid w:val="000306EB"/>
    <w:rsid w:val="00030D0B"/>
    <w:rsid w:val="000321CF"/>
    <w:rsid w:val="000339BB"/>
    <w:rsid w:val="00033CF7"/>
    <w:rsid w:val="000342D9"/>
    <w:rsid w:val="0003448F"/>
    <w:rsid w:val="00035835"/>
    <w:rsid w:val="0003628F"/>
    <w:rsid w:val="00036451"/>
    <w:rsid w:val="0003737F"/>
    <w:rsid w:val="00037FA0"/>
    <w:rsid w:val="000407CD"/>
    <w:rsid w:val="000409F7"/>
    <w:rsid w:val="000425A9"/>
    <w:rsid w:val="00043EC3"/>
    <w:rsid w:val="00043F20"/>
    <w:rsid w:val="00043FA6"/>
    <w:rsid w:val="00044117"/>
    <w:rsid w:val="00044DEA"/>
    <w:rsid w:val="000453CB"/>
    <w:rsid w:val="00045AA7"/>
    <w:rsid w:val="000473EA"/>
    <w:rsid w:val="0005024F"/>
    <w:rsid w:val="00050FEB"/>
    <w:rsid w:val="00052239"/>
    <w:rsid w:val="0005237F"/>
    <w:rsid w:val="00053400"/>
    <w:rsid w:val="00055E51"/>
    <w:rsid w:val="0005729C"/>
    <w:rsid w:val="00057BB6"/>
    <w:rsid w:val="00057CC8"/>
    <w:rsid w:val="00057D00"/>
    <w:rsid w:val="0006063F"/>
    <w:rsid w:val="000606B4"/>
    <w:rsid w:val="000617C7"/>
    <w:rsid w:val="00061D9C"/>
    <w:rsid w:val="00064EA0"/>
    <w:rsid w:val="00064F1C"/>
    <w:rsid w:val="00065E3A"/>
    <w:rsid w:val="0006686A"/>
    <w:rsid w:val="00066E90"/>
    <w:rsid w:val="00067984"/>
    <w:rsid w:val="00070122"/>
    <w:rsid w:val="00070B2F"/>
    <w:rsid w:val="0007141A"/>
    <w:rsid w:val="0007175D"/>
    <w:rsid w:val="00072403"/>
    <w:rsid w:val="0007279E"/>
    <w:rsid w:val="00072B2A"/>
    <w:rsid w:val="00076363"/>
    <w:rsid w:val="00077017"/>
    <w:rsid w:val="00077191"/>
    <w:rsid w:val="0007777B"/>
    <w:rsid w:val="00081546"/>
    <w:rsid w:val="000816A0"/>
    <w:rsid w:val="00083C33"/>
    <w:rsid w:val="00085269"/>
    <w:rsid w:val="00085603"/>
    <w:rsid w:val="000857BF"/>
    <w:rsid w:val="00085E82"/>
    <w:rsid w:val="00087FC0"/>
    <w:rsid w:val="00090752"/>
    <w:rsid w:val="00090D0B"/>
    <w:rsid w:val="00091A9A"/>
    <w:rsid w:val="00092059"/>
    <w:rsid w:val="00092364"/>
    <w:rsid w:val="000927E4"/>
    <w:rsid w:val="00092B8B"/>
    <w:rsid w:val="00092D09"/>
    <w:rsid w:val="00093826"/>
    <w:rsid w:val="000946E3"/>
    <w:rsid w:val="000951E5"/>
    <w:rsid w:val="00095390"/>
    <w:rsid w:val="000956F4"/>
    <w:rsid w:val="0009644D"/>
    <w:rsid w:val="00096F29"/>
    <w:rsid w:val="00097131"/>
    <w:rsid w:val="000A02E9"/>
    <w:rsid w:val="000A076E"/>
    <w:rsid w:val="000A1E54"/>
    <w:rsid w:val="000A2F4F"/>
    <w:rsid w:val="000A3369"/>
    <w:rsid w:val="000A36D5"/>
    <w:rsid w:val="000A3E3E"/>
    <w:rsid w:val="000A4BF2"/>
    <w:rsid w:val="000A52E9"/>
    <w:rsid w:val="000A5CED"/>
    <w:rsid w:val="000A753C"/>
    <w:rsid w:val="000B0224"/>
    <w:rsid w:val="000B096D"/>
    <w:rsid w:val="000B0C89"/>
    <w:rsid w:val="000B1A8B"/>
    <w:rsid w:val="000B1D65"/>
    <w:rsid w:val="000B1E7E"/>
    <w:rsid w:val="000B26EA"/>
    <w:rsid w:val="000B683A"/>
    <w:rsid w:val="000B6CA6"/>
    <w:rsid w:val="000B6D1F"/>
    <w:rsid w:val="000B7109"/>
    <w:rsid w:val="000C1B64"/>
    <w:rsid w:val="000C238C"/>
    <w:rsid w:val="000C264E"/>
    <w:rsid w:val="000C2A85"/>
    <w:rsid w:val="000C2B6E"/>
    <w:rsid w:val="000C3575"/>
    <w:rsid w:val="000C389C"/>
    <w:rsid w:val="000C3C3C"/>
    <w:rsid w:val="000C5939"/>
    <w:rsid w:val="000C737C"/>
    <w:rsid w:val="000D05C2"/>
    <w:rsid w:val="000D1AFC"/>
    <w:rsid w:val="000D1DAD"/>
    <w:rsid w:val="000D29B9"/>
    <w:rsid w:val="000D4122"/>
    <w:rsid w:val="000D4BF7"/>
    <w:rsid w:val="000D5C94"/>
    <w:rsid w:val="000D7354"/>
    <w:rsid w:val="000D7620"/>
    <w:rsid w:val="000D766A"/>
    <w:rsid w:val="000E03C9"/>
    <w:rsid w:val="000E091D"/>
    <w:rsid w:val="000E09B7"/>
    <w:rsid w:val="000E2B40"/>
    <w:rsid w:val="000E2BC5"/>
    <w:rsid w:val="000E3846"/>
    <w:rsid w:val="000E454D"/>
    <w:rsid w:val="000E46DA"/>
    <w:rsid w:val="000E470B"/>
    <w:rsid w:val="000E4A69"/>
    <w:rsid w:val="000E4F2C"/>
    <w:rsid w:val="000F0D91"/>
    <w:rsid w:val="000F14DC"/>
    <w:rsid w:val="000F344A"/>
    <w:rsid w:val="000F3DDA"/>
    <w:rsid w:val="000F432A"/>
    <w:rsid w:val="000F4EB2"/>
    <w:rsid w:val="000F5A2A"/>
    <w:rsid w:val="000F6096"/>
    <w:rsid w:val="000F6499"/>
    <w:rsid w:val="000F668F"/>
    <w:rsid w:val="000F6AEC"/>
    <w:rsid w:val="000F6C54"/>
    <w:rsid w:val="000F7528"/>
    <w:rsid w:val="0010065E"/>
    <w:rsid w:val="00101B11"/>
    <w:rsid w:val="001021C5"/>
    <w:rsid w:val="00103907"/>
    <w:rsid w:val="0010411F"/>
    <w:rsid w:val="0010450C"/>
    <w:rsid w:val="00104983"/>
    <w:rsid w:val="00105731"/>
    <w:rsid w:val="00107ABB"/>
    <w:rsid w:val="001102C4"/>
    <w:rsid w:val="00110797"/>
    <w:rsid w:val="00111263"/>
    <w:rsid w:val="00111341"/>
    <w:rsid w:val="0011158B"/>
    <w:rsid w:val="0011170E"/>
    <w:rsid w:val="0011193F"/>
    <w:rsid w:val="00112A62"/>
    <w:rsid w:val="0011308B"/>
    <w:rsid w:val="0011361C"/>
    <w:rsid w:val="00115E9B"/>
    <w:rsid w:val="00116106"/>
    <w:rsid w:val="00116E42"/>
    <w:rsid w:val="00116FD6"/>
    <w:rsid w:val="00117A49"/>
    <w:rsid w:val="00121A28"/>
    <w:rsid w:val="00123415"/>
    <w:rsid w:val="00123F4D"/>
    <w:rsid w:val="001241E2"/>
    <w:rsid w:val="00124917"/>
    <w:rsid w:val="00125E9A"/>
    <w:rsid w:val="001314F7"/>
    <w:rsid w:val="00133856"/>
    <w:rsid w:val="00133A63"/>
    <w:rsid w:val="00133C54"/>
    <w:rsid w:val="00134C50"/>
    <w:rsid w:val="0013586E"/>
    <w:rsid w:val="00135A32"/>
    <w:rsid w:val="0013705D"/>
    <w:rsid w:val="0013799B"/>
    <w:rsid w:val="00140562"/>
    <w:rsid w:val="001407E0"/>
    <w:rsid w:val="00140A6D"/>
    <w:rsid w:val="001410ED"/>
    <w:rsid w:val="0014128D"/>
    <w:rsid w:val="0014328C"/>
    <w:rsid w:val="00143392"/>
    <w:rsid w:val="001441E9"/>
    <w:rsid w:val="0014526B"/>
    <w:rsid w:val="00145629"/>
    <w:rsid w:val="001468FD"/>
    <w:rsid w:val="001471B9"/>
    <w:rsid w:val="00147352"/>
    <w:rsid w:val="00150AA5"/>
    <w:rsid w:val="00150FDF"/>
    <w:rsid w:val="00151D33"/>
    <w:rsid w:val="00152DA2"/>
    <w:rsid w:val="00153154"/>
    <w:rsid w:val="00153A48"/>
    <w:rsid w:val="00153E6B"/>
    <w:rsid w:val="00154512"/>
    <w:rsid w:val="00154FC1"/>
    <w:rsid w:val="00156FBD"/>
    <w:rsid w:val="001576D0"/>
    <w:rsid w:val="00160E0F"/>
    <w:rsid w:val="0016129B"/>
    <w:rsid w:val="001618CC"/>
    <w:rsid w:val="00162671"/>
    <w:rsid w:val="00163BB9"/>
    <w:rsid w:val="00164CDC"/>
    <w:rsid w:val="00165172"/>
    <w:rsid w:val="001659CF"/>
    <w:rsid w:val="00165ABC"/>
    <w:rsid w:val="00166BA5"/>
    <w:rsid w:val="001676EE"/>
    <w:rsid w:val="0017070C"/>
    <w:rsid w:val="00170CDF"/>
    <w:rsid w:val="0017128D"/>
    <w:rsid w:val="00172ECA"/>
    <w:rsid w:val="0017400A"/>
    <w:rsid w:val="001742D3"/>
    <w:rsid w:val="001745E1"/>
    <w:rsid w:val="00175002"/>
    <w:rsid w:val="00175838"/>
    <w:rsid w:val="00176064"/>
    <w:rsid w:val="001771E8"/>
    <w:rsid w:val="00177249"/>
    <w:rsid w:val="0018217E"/>
    <w:rsid w:val="0018236E"/>
    <w:rsid w:val="00182684"/>
    <w:rsid w:val="00182E4A"/>
    <w:rsid w:val="0018393A"/>
    <w:rsid w:val="00184BF3"/>
    <w:rsid w:val="00186BEE"/>
    <w:rsid w:val="0019003B"/>
    <w:rsid w:val="001912EF"/>
    <w:rsid w:val="001915AB"/>
    <w:rsid w:val="00191DF4"/>
    <w:rsid w:val="00192084"/>
    <w:rsid w:val="001922BB"/>
    <w:rsid w:val="001931F6"/>
    <w:rsid w:val="00193AFB"/>
    <w:rsid w:val="00193B4C"/>
    <w:rsid w:val="00193C37"/>
    <w:rsid w:val="001948CC"/>
    <w:rsid w:val="00194D96"/>
    <w:rsid w:val="00195079"/>
    <w:rsid w:val="0019546D"/>
    <w:rsid w:val="00197F1F"/>
    <w:rsid w:val="001A0A3E"/>
    <w:rsid w:val="001A2B66"/>
    <w:rsid w:val="001A3B1E"/>
    <w:rsid w:val="001A4AF5"/>
    <w:rsid w:val="001A576E"/>
    <w:rsid w:val="001A5D69"/>
    <w:rsid w:val="001A653E"/>
    <w:rsid w:val="001A711E"/>
    <w:rsid w:val="001B036E"/>
    <w:rsid w:val="001B075D"/>
    <w:rsid w:val="001B14E5"/>
    <w:rsid w:val="001B2F6F"/>
    <w:rsid w:val="001B40DF"/>
    <w:rsid w:val="001B5218"/>
    <w:rsid w:val="001B526E"/>
    <w:rsid w:val="001B54E2"/>
    <w:rsid w:val="001B78AB"/>
    <w:rsid w:val="001B7BDB"/>
    <w:rsid w:val="001C0220"/>
    <w:rsid w:val="001C1CA3"/>
    <w:rsid w:val="001C255B"/>
    <w:rsid w:val="001C406D"/>
    <w:rsid w:val="001C4363"/>
    <w:rsid w:val="001C4D4C"/>
    <w:rsid w:val="001C4ED1"/>
    <w:rsid w:val="001C4EDC"/>
    <w:rsid w:val="001C53B2"/>
    <w:rsid w:val="001C6F65"/>
    <w:rsid w:val="001C7C1B"/>
    <w:rsid w:val="001C7C23"/>
    <w:rsid w:val="001D035B"/>
    <w:rsid w:val="001D15DE"/>
    <w:rsid w:val="001D173B"/>
    <w:rsid w:val="001D33FF"/>
    <w:rsid w:val="001D3A60"/>
    <w:rsid w:val="001D3DA5"/>
    <w:rsid w:val="001D3EB4"/>
    <w:rsid w:val="001D53DE"/>
    <w:rsid w:val="001D6271"/>
    <w:rsid w:val="001D6D1F"/>
    <w:rsid w:val="001E0BE4"/>
    <w:rsid w:val="001E0FAD"/>
    <w:rsid w:val="001E193C"/>
    <w:rsid w:val="001E3D25"/>
    <w:rsid w:val="001E5728"/>
    <w:rsid w:val="001E5F35"/>
    <w:rsid w:val="001E5FF9"/>
    <w:rsid w:val="001E6A50"/>
    <w:rsid w:val="001E7578"/>
    <w:rsid w:val="001E7E97"/>
    <w:rsid w:val="001F0D66"/>
    <w:rsid w:val="001F11C3"/>
    <w:rsid w:val="001F2943"/>
    <w:rsid w:val="001F3279"/>
    <w:rsid w:val="001F348C"/>
    <w:rsid w:val="001F3D44"/>
    <w:rsid w:val="001F4FA5"/>
    <w:rsid w:val="001F5707"/>
    <w:rsid w:val="001F591D"/>
    <w:rsid w:val="001F5A18"/>
    <w:rsid w:val="001F64EF"/>
    <w:rsid w:val="001F7B66"/>
    <w:rsid w:val="001F7CDD"/>
    <w:rsid w:val="0020031E"/>
    <w:rsid w:val="002008A7"/>
    <w:rsid w:val="00200DC5"/>
    <w:rsid w:val="00203088"/>
    <w:rsid w:val="00204421"/>
    <w:rsid w:val="0020502D"/>
    <w:rsid w:val="00205AC3"/>
    <w:rsid w:val="00206216"/>
    <w:rsid w:val="00206B45"/>
    <w:rsid w:val="00206D57"/>
    <w:rsid w:val="0020717C"/>
    <w:rsid w:val="00210007"/>
    <w:rsid w:val="0021070F"/>
    <w:rsid w:val="00210D01"/>
    <w:rsid w:val="0021131F"/>
    <w:rsid w:val="00211503"/>
    <w:rsid w:val="0021183E"/>
    <w:rsid w:val="0021260C"/>
    <w:rsid w:val="00212DA7"/>
    <w:rsid w:val="00213F06"/>
    <w:rsid w:val="00213FA5"/>
    <w:rsid w:val="00214418"/>
    <w:rsid w:val="00215508"/>
    <w:rsid w:val="00216188"/>
    <w:rsid w:val="002161E0"/>
    <w:rsid w:val="00216910"/>
    <w:rsid w:val="00216EE7"/>
    <w:rsid w:val="002212E5"/>
    <w:rsid w:val="0022141B"/>
    <w:rsid w:val="00221A92"/>
    <w:rsid w:val="00222239"/>
    <w:rsid w:val="00222CEE"/>
    <w:rsid w:val="00224562"/>
    <w:rsid w:val="00224DE7"/>
    <w:rsid w:val="00226014"/>
    <w:rsid w:val="0022601E"/>
    <w:rsid w:val="002261FA"/>
    <w:rsid w:val="002262D0"/>
    <w:rsid w:val="00226AC9"/>
    <w:rsid w:val="00227601"/>
    <w:rsid w:val="0023008C"/>
    <w:rsid w:val="00230449"/>
    <w:rsid w:val="002315B1"/>
    <w:rsid w:val="00231C83"/>
    <w:rsid w:val="00232A6B"/>
    <w:rsid w:val="00234D0C"/>
    <w:rsid w:val="00234F1F"/>
    <w:rsid w:val="002352F9"/>
    <w:rsid w:val="002353CE"/>
    <w:rsid w:val="0023632B"/>
    <w:rsid w:val="002365A4"/>
    <w:rsid w:val="00237353"/>
    <w:rsid w:val="00237BDD"/>
    <w:rsid w:val="00240367"/>
    <w:rsid w:val="0024073E"/>
    <w:rsid w:val="00240A2C"/>
    <w:rsid w:val="00241DD4"/>
    <w:rsid w:val="00242AC9"/>
    <w:rsid w:val="00242D79"/>
    <w:rsid w:val="00243DD9"/>
    <w:rsid w:val="002448C1"/>
    <w:rsid w:val="00244B11"/>
    <w:rsid w:val="00246B01"/>
    <w:rsid w:val="00246FCF"/>
    <w:rsid w:val="002479BC"/>
    <w:rsid w:val="00251046"/>
    <w:rsid w:val="00251927"/>
    <w:rsid w:val="00252963"/>
    <w:rsid w:val="002532A3"/>
    <w:rsid w:val="00253D87"/>
    <w:rsid w:val="00253FB8"/>
    <w:rsid w:val="00254214"/>
    <w:rsid w:val="002548B5"/>
    <w:rsid w:val="002549AD"/>
    <w:rsid w:val="00255215"/>
    <w:rsid w:val="00256406"/>
    <w:rsid w:val="00256C4A"/>
    <w:rsid w:val="00260764"/>
    <w:rsid w:val="00260AFC"/>
    <w:rsid w:val="00261D7E"/>
    <w:rsid w:val="0026242C"/>
    <w:rsid w:val="00266860"/>
    <w:rsid w:val="00267833"/>
    <w:rsid w:val="00270582"/>
    <w:rsid w:val="00270947"/>
    <w:rsid w:val="00270FEA"/>
    <w:rsid w:val="0027137A"/>
    <w:rsid w:val="002733B1"/>
    <w:rsid w:val="00274480"/>
    <w:rsid w:val="002745D1"/>
    <w:rsid w:val="002758EE"/>
    <w:rsid w:val="00276995"/>
    <w:rsid w:val="002777AE"/>
    <w:rsid w:val="0028065C"/>
    <w:rsid w:val="00281441"/>
    <w:rsid w:val="002826B8"/>
    <w:rsid w:val="00282944"/>
    <w:rsid w:val="00283751"/>
    <w:rsid w:val="00283C62"/>
    <w:rsid w:val="00284750"/>
    <w:rsid w:val="00285769"/>
    <w:rsid w:val="00285AA4"/>
    <w:rsid w:val="00286A83"/>
    <w:rsid w:val="002873A8"/>
    <w:rsid w:val="0029005E"/>
    <w:rsid w:val="00294058"/>
    <w:rsid w:val="00294E45"/>
    <w:rsid w:val="00295733"/>
    <w:rsid w:val="002A02D1"/>
    <w:rsid w:val="002A058E"/>
    <w:rsid w:val="002A09E9"/>
    <w:rsid w:val="002A1525"/>
    <w:rsid w:val="002A2A3B"/>
    <w:rsid w:val="002A2DFC"/>
    <w:rsid w:val="002A3166"/>
    <w:rsid w:val="002A67A2"/>
    <w:rsid w:val="002A6FC6"/>
    <w:rsid w:val="002A7AB3"/>
    <w:rsid w:val="002B017B"/>
    <w:rsid w:val="002B0D00"/>
    <w:rsid w:val="002B0EFB"/>
    <w:rsid w:val="002B0FE4"/>
    <w:rsid w:val="002B27DC"/>
    <w:rsid w:val="002B2B64"/>
    <w:rsid w:val="002B428E"/>
    <w:rsid w:val="002B430A"/>
    <w:rsid w:val="002B466D"/>
    <w:rsid w:val="002B53F4"/>
    <w:rsid w:val="002B5CDE"/>
    <w:rsid w:val="002B709B"/>
    <w:rsid w:val="002C0CCF"/>
    <w:rsid w:val="002C0E6D"/>
    <w:rsid w:val="002C1E68"/>
    <w:rsid w:val="002C2D2E"/>
    <w:rsid w:val="002C2F80"/>
    <w:rsid w:val="002C3829"/>
    <w:rsid w:val="002C41BC"/>
    <w:rsid w:val="002C41F6"/>
    <w:rsid w:val="002C4E86"/>
    <w:rsid w:val="002C5323"/>
    <w:rsid w:val="002C5D0A"/>
    <w:rsid w:val="002C5D12"/>
    <w:rsid w:val="002C7129"/>
    <w:rsid w:val="002C717B"/>
    <w:rsid w:val="002D013A"/>
    <w:rsid w:val="002D184E"/>
    <w:rsid w:val="002D1EB5"/>
    <w:rsid w:val="002D3910"/>
    <w:rsid w:val="002D4EE8"/>
    <w:rsid w:val="002D6401"/>
    <w:rsid w:val="002D6D7C"/>
    <w:rsid w:val="002E0BC6"/>
    <w:rsid w:val="002E1247"/>
    <w:rsid w:val="002E1484"/>
    <w:rsid w:val="002E2CEA"/>
    <w:rsid w:val="002E2D70"/>
    <w:rsid w:val="002E3424"/>
    <w:rsid w:val="002E3D17"/>
    <w:rsid w:val="002E62F1"/>
    <w:rsid w:val="002E6443"/>
    <w:rsid w:val="002E73AC"/>
    <w:rsid w:val="002E74E9"/>
    <w:rsid w:val="002E7920"/>
    <w:rsid w:val="002E792F"/>
    <w:rsid w:val="002F03F8"/>
    <w:rsid w:val="002F2171"/>
    <w:rsid w:val="002F253C"/>
    <w:rsid w:val="002F623B"/>
    <w:rsid w:val="002F635D"/>
    <w:rsid w:val="002F7726"/>
    <w:rsid w:val="002F786E"/>
    <w:rsid w:val="00300321"/>
    <w:rsid w:val="003018BF"/>
    <w:rsid w:val="003025A1"/>
    <w:rsid w:val="00302F59"/>
    <w:rsid w:val="00304140"/>
    <w:rsid w:val="003043C1"/>
    <w:rsid w:val="00306268"/>
    <w:rsid w:val="00306B4B"/>
    <w:rsid w:val="00306C1F"/>
    <w:rsid w:val="003072AE"/>
    <w:rsid w:val="00310574"/>
    <w:rsid w:val="00310788"/>
    <w:rsid w:val="00310EF2"/>
    <w:rsid w:val="00311775"/>
    <w:rsid w:val="00311F68"/>
    <w:rsid w:val="003129DD"/>
    <w:rsid w:val="00312E6F"/>
    <w:rsid w:val="00314221"/>
    <w:rsid w:val="003147DE"/>
    <w:rsid w:val="00314AF0"/>
    <w:rsid w:val="00314B49"/>
    <w:rsid w:val="00315DE7"/>
    <w:rsid w:val="00315F04"/>
    <w:rsid w:val="003161EE"/>
    <w:rsid w:val="00316DCF"/>
    <w:rsid w:val="00317875"/>
    <w:rsid w:val="003209F8"/>
    <w:rsid w:val="00322254"/>
    <w:rsid w:val="00323BDA"/>
    <w:rsid w:val="00323FD9"/>
    <w:rsid w:val="003249D9"/>
    <w:rsid w:val="003263C8"/>
    <w:rsid w:val="0032651E"/>
    <w:rsid w:val="00327880"/>
    <w:rsid w:val="00330CD6"/>
    <w:rsid w:val="00331DAC"/>
    <w:rsid w:val="00333F33"/>
    <w:rsid w:val="0033415B"/>
    <w:rsid w:val="0033481B"/>
    <w:rsid w:val="00335361"/>
    <w:rsid w:val="003357DB"/>
    <w:rsid w:val="00335C30"/>
    <w:rsid w:val="003360F2"/>
    <w:rsid w:val="003366B3"/>
    <w:rsid w:val="00336A76"/>
    <w:rsid w:val="0033797F"/>
    <w:rsid w:val="00337E27"/>
    <w:rsid w:val="00340106"/>
    <w:rsid w:val="003426F1"/>
    <w:rsid w:val="003428B0"/>
    <w:rsid w:val="00342D31"/>
    <w:rsid w:val="00344C08"/>
    <w:rsid w:val="003453AF"/>
    <w:rsid w:val="003459E0"/>
    <w:rsid w:val="00345B3E"/>
    <w:rsid w:val="00345C50"/>
    <w:rsid w:val="003467B1"/>
    <w:rsid w:val="003471D8"/>
    <w:rsid w:val="00347D10"/>
    <w:rsid w:val="003500BB"/>
    <w:rsid w:val="00350CB8"/>
    <w:rsid w:val="00351BB0"/>
    <w:rsid w:val="0035249F"/>
    <w:rsid w:val="00352793"/>
    <w:rsid w:val="00352F50"/>
    <w:rsid w:val="00354176"/>
    <w:rsid w:val="00355BB0"/>
    <w:rsid w:val="00357AE6"/>
    <w:rsid w:val="00357D6A"/>
    <w:rsid w:val="003616E0"/>
    <w:rsid w:val="0036291A"/>
    <w:rsid w:val="00363A1B"/>
    <w:rsid w:val="00363CC9"/>
    <w:rsid w:val="00364003"/>
    <w:rsid w:val="003640D9"/>
    <w:rsid w:val="00364538"/>
    <w:rsid w:val="00364655"/>
    <w:rsid w:val="00364680"/>
    <w:rsid w:val="00364D8D"/>
    <w:rsid w:val="00365032"/>
    <w:rsid w:val="00365B33"/>
    <w:rsid w:val="00365F13"/>
    <w:rsid w:val="0036602A"/>
    <w:rsid w:val="00367DCC"/>
    <w:rsid w:val="003702DA"/>
    <w:rsid w:val="003702F1"/>
    <w:rsid w:val="00370AC3"/>
    <w:rsid w:val="00370BFD"/>
    <w:rsid w:val="00371CF0"/>
    <w:rsid w:val="00371EA7"/>
    <w:rsid w:val="003722A3"/>
    <w:rsid w:val="00372BF3"/>
    <w:rsid w:val="0037315C"/>
    <w:rsid w:val="00374031"/>
    <w:rsid w:val="0037477F"/>
    <w:rsid w:val="0037518C"/>
    <w:rsid w:val="003753D8"/>
    <w:rsid w:val="00377EFE"/>
    <w:rsid w:val="00381DF0"/>
    <w:rsid w:val="003863D7"/>
    <w:rsid w:val="0038661C"/>
    <w:rsid w:val="003866A1"/>
    <w:rsid w:val="00390042"/>
    <w:rsid w:val="003904FB"/>
    <w:rsid w:val="00390FC3"/>
    <w:rsid w:val="00391D5B"/>
    <w:rsid w:val="00394319"/>
    <w:rsid w:val="0039449E"/>
    <w:rsid w:val="00394A77"/>
    <w:rsid w:val="00394E96"/>
    <w:rsid w:val="00394FA3"/>
    <w:rsid w:val="00396FE7"/>
    <w:rsid w:val="003A1292"/>
    <w:rsid w:val="003A14D2"/>
    <w:rsid w:val="003A153C"/>
    <w:rsid w:val="003A610D"/>
    <w:rsid w:val="003A6259"/>
    <w:rsid w:val="003A6D66"/>
    <w:rsid w:val="003B02D6"/>
    <w:rsid w:val="003B0F2A"/>
    <w:rsid w:val="003B120C"/>
    <w:rsid w:val="003B13B8"/>
    <w:rsid w:val="003B1CAE"/>
    <w:rsid w:val="003B1F96"/>
    <w:rsid w:val="003B21FD"/>
    <w:rsid w:val="003B2A99"/>
    <w:rsid w:val="003B351B"/>
    <w:rsid w:val="003B388B"/>
    <w:rsid w:val="003B38C8"/>
    <w:rsid w:val="003B3CB8"/>
    <w:rsid w:val="003B3D1D"/>
    <w:rsid w:val="003B4538"/>
    <w:rsid w:val="003B5303"/>
    <w:rsid w:val="003B559D"/>
    <w:rsid w:val="003B582C"/>
    <w:rsid w:val="003B6044"/>
    <w:rsid w:val="003B64B9"/>
    <w:rsid w:val="003B7F30"/>
    <w:rsid w:val="003C0632"/>
    <w:rsid w:val="003C0760"/>
    <w:rsid w:val="003C0887"/>
    <w:rsid w:val="003C0A2B"/>
    <w:rsid w:val="003C0DC8"/>
    <w:rsid w:val="003C1850"/>
    <w:rsid w:val="003C206A"/>
    <w:rsid w:val="003C3315"/>
    <w:rsid w:val="003C3952"/>
    <w:rsid w:val="003C447B"/>
    <w:rsid w:val="003C44E2"/>
    <w:rsid w:val="003C492E"/>
    <w:rsid w:val="003C4EBC"/>
    <w:rsid w:val="003C4F35"/>
    <w:rsid w:val="003C63F9"/>
    <w:rsid w:val="003C6F93"/>
    <w:rsid w:val="003C7310"/>
    <w:rsid w:val="003D00DE"/>
    <w:rsid w:val="003D0E34"/>
    <w:rsid w:val="003D135F"/>
    <w:rsid w:val="003D141A"/>
    <w:rsid w:val="003D1B8A"/>
    <w:rsid w:val="003D1C77"/>
    <w:rsid w:val="003D1D5C"/>
    <w:rsid w:val="003D229A"/>
    <w:rsid w:val="003D22F9"/>
    <w:rsid w:val="003D3840"/>
    <w:rsid w:val="003D3E86"/>
    <w:rsid w:val="003D407F"/>
    <w:rsid w:val="003D42A8"/>
    <w:rsid w:val="003D51C1"/>
    <w:rsid w:val="003D64D0"/>
    <w:rsid w:val="003D6F17"/>
    <w:rsid w:val="003E0935"/>
    <w:rsid w:val="003E2319"/>
    <w:rsid w:val="003E2A0D"/>
    <w:rsid w:val="003E418D"/>
    <w:rsid w:val="003E4534"/>
    <w:rsid w:val="003E5DDA"/>
    <w:rsid w:val="003E6EAC"/>
    <w:rsid w:val="003E747C"/>
    <w:rsid w:val="003E7D64"/>
    <w:rsid w:val="003F08DE"/>
    <w:rsid w:val="003F2269"/>
    <w:rsid w:val="003F22FF"/>
    <w:rsid w:val="003F25AC"/>
    <w:rsid w:val="003F271A"/>
    <w:rsid w:val="003F5123"/>
    <w:rsid w:val="003F6009"/>
    <w:rsid w:val="003F60AC"/>
    <w:rsid w:val="003F6291"/>
    <w:rsid w:val="003F742B"/>
    <w:rsid w:val="003F780E"/>
    <w:rsid w:val="00400BAB"/>
    <w:rsid w:val="00401C8B"/>
    <w:rsid w:val="00403DE7"/>
    <w:rsid w:val="00404308"/>
    <w:rsid w:val="00406709"/>
    <w:rsid w:val="0040681C"/>
    <w:rsid w:val="004068EC"/>
    <w:rsid w:val="00406F45"/>
    <w:rsid w:val="00407F9A"/>
    <w:rsid w:val="004107D7"/>
    <w:rsid w:val="004108A6"/>
    <w:rsid w:val="00410A83"/>
    <w:rsid w:val="004112F5"/>
    <w:rsid w:val="00411589"/>
    <w:rsid w:val="00411755"/>
    <w:rsid w:val="00411942"/>
    <w:rsid w:val="00411990"/>
    <w:rsid w:val="00412239"/>
    <w:rsid w:val="00413047"/>
    <w:rsid w:val="0041469F"/>
    <w:rsid w:val="0041501F"/>
    <w:rsid w:val="004176C3"/>
    <w:rsid w:val="00420C0C"/>
    <w:rsid w:val="00421293"/>
    <w:rsid w:val="0042228F"/>
    <w:rsid w:val="0042277E"/>
    <w:rsid w:val="00422849"/>
    <w:rsid w:val="004229E5"/>
    <w:rsid w:val="00422F16"/>
    <w:rsid w:val="00423577"/>
    <w:rsid w:val="00423E93"/>
    <w:rsid w:val="00423FB4"/>
    <w:rsid w:val="00426EC6"/>
    <w:rsid w:val="0042750F"/>
    <w:rsid w:val="00430C2A"/>
    <w:rsid w:val="00430F23"/>
    <w:rsid w:val="00433CFF"/>
    <w:rsid w:val="004353A0"/>
    <w:rsid w:val="00436A6C"/>
    <w:rsid w:val="00436F1E"/>
    <w:rsid w:val="0043726F"/>
    <w:rsid w:val="0043757B"/>
    <w:rsid w:val="00437DE5"/>
    <w:rsid w:val="00440287"/>
    <w:rsid w:val="004407AE"/>
    <w:rsid w:val="0044415F"/>
    <w:rsid w:val="0044461C"/>
    <w:rsid w:val="00444A4D"/>
    <w:rsid w:val="00445D7B"/>
    <w:rsid w:val="00450605"/>
    <w:rsid w:val="0045199B"/>
    <w:rsid w:val="00452B07"/>
    <w:rsid w:val="00452E3E"/>
    <w:rsid w:val="00452EF9"/>
    <w:rsid w:val="00454714"/>
    <w:rsid w:val="0045482B"/>
    <w:rsid w:val="004557E6"/>
    <w:rsid w:val="00455AAF"/>
    <w:rsid w:val="00455DBF"/>
    <w:rsid w:val="00455FE7"/>
    <w:rsid w:val="00457572"/>
    <w:rsid w:val="004577AD"/>
    <w:rsid w:val="004601AA"/>
    <w:rsid w:val="004604CC"/>
    <w:rsid w:val="004634A3"/>
    <w:rsid w:val="00463844"/>
    <w:rsid w:val="00463A48"/>
    <w:rsid w:val="004653D3"/>
    <w:rsid w:val="004701F6"/>
    <w:rsid w:val="0047029F"/>
    <w:rsid w:val="004703C2"/>
    <w:rsid w:val="00470F92"/>
    <w:rsid w:val="0047106C"/>
    <w:rsid w:val="004714AA"/>
    <w:rsid w:val="00472122"/>
    <w:rsid w:val="0047221C"/>
    <w:rsid w:val="00473B69"/>
    <w:rsid w:val="00474200"/>
    <w:rsid w:val="00474949"/>
    <w:rsid w:val="00475B1D"/>
    <w:rsid w:val="004768E3"/>
    <w:rsid w:val="0048089F"/>
    <w:rsid w:val="00481B0C"/>
    <w:rsid w:val="004834C7"/>
    <w:rsid w:val="004837A4"/>
    <w:rsid w:val="00483B26"/>
    <w:rsid w:val="00484AD4"/>
    <w:rsid w:val="00484EC6"/>
    <w:rsid w:val="00485983"/>
    <w:rsid w:val="0048691D"/>
    <w:rsid w:val="004907FF"/>
    <w:rsid w:val="00491677"/>
    <w:rsid w:val="00491E78"/>
    <w:rsid w:val="00492D74"/>
    <w:rsid w:val="00494417"/>
    <w:rsid w:val="004955D9"/>
    <w:rsid w:val="004965C2"/>
    <w:rsid w:val="00496CC4"/>
    <w:rsid w:val="00496F98"/>
    <w:rsid w:val="00497A57"/>
    <w:rsid w:val="004A033B"/>
    <w:rsid w:val="004A0CB9"/>
    <w:rsid w:val="004A272D"/>
    <w:rsid w:val="004A303D"/>
    <w:rsid w:val="004A31BA"/>
    <w:rsid w:val="004A32B3"/>
    <w:rsid w:val="004A338D"/>
    <w:rsid w:val="004A38EF"/>
    <w:rsid w:val="004A3B89"/>
    <w:rsid w:val="004A3BFA"/>
    <w:rsid w:val="004A463F"/>
    <w:rsid w:val="004A4BF2"/>
    <w:rsid w:val="004A4FDE"/>
    <w:rsid w:val="004A5296"/>
    <w:rsid w:val="004A6384"/>
    <w:rsid w:val="004A738B"/>
    <w:rsid w:val="004B08BA"/>
    <w:rsid w:val="004B19BA"/>
    <w:rsid w:val="004B2DD3"/>
    <w:rsid w:val="004B326D"/>
    <w:rsid w:val="004B32B8"/>
    <w:rsid w:val="004B44F1"/>
    <w:rsid w:val="004B472F"/>
    <w:rsid w:val="004B50F1"/>
    <w:rsid w:val="004B548A"/>
    <w:rsid w:val="004B5A7E"/>
    <w:rsid w:val="004B713F"/>
    <w:rsid w:val="004B7B6E"/>
    <w:rsid w:val="004C1982"/>
    <w:rsid w:val="004C1C02"/>
    <w:rsid w:val="004C36ED"/>
    <w:rsid w:val="004C45A6"/>
    <w:rsid w:val="004C4BA0"/>
    <w:rsid w:val="004C7494"/>
    <w:rsid w:val="004C7AE7"/>
    <w:rsid w:val="004D0278"/>
    <w:rsid w:val="004D04CD"/>
    <w:rsid w:val="004D106B"/>
    <w:rsid w:val="004D14F4"/>
    <w:rsid w:val="004D1CD7"/>
    <w:rsid w:val="004D2ED6"/>
    <w:rsid w:val="004D34C2"/>
    <w:rsid w:val="004D40EB"/>
    <w:rsid w:val="004D414A"/>
    <w:rsid w:val="004D4719"/>
    <w:rsid w:val="004D4ED6"/>
    <w:rsid w:val="004D6AFF"/>
    <w:rsid w:val="004E02BA"/>
    <w:rsid w:val="004E0788"/>
    <w:rsid w:val="004E0CE2"/>
    <w:rsid w:val="004E12AF"/>
    <w:rsid w:val="004E234D"/>
    <w:rsid w:val="004E4512"/>
    <w:rsid w:val="004E46BB"/>
    <w:rsid w:val="004E56FD"/>
    <w:rsid w:val="004E5700"/>
    <w:rsid w:val="004E62DB"/>
    <w:rsid w:val="004E6955"/>
    <w:rsid w:val="004E7BCF"/>
    <w:rsid w:val="004F0895"/>
    <w:rsid w:val="004F1DDA"/>
    <w:rsid w:val="004F27B6"/>
    <w:rsid w:val="004F2BA3"/>
    <w:rsid w:val="004F4CE9"/>
    <w:rsid w:val="004F4F3A"/>
    <w:rsid w:val="004F5277"/>
    <w:rsid w:val="004F7BED"/>
    <w:rsid w:val="004F7CF0"/>
    <w:rsid w:val="004F7DB6"/>
    <w:rsid w:val="0050055D"/>
    <w:rsid w:val="00500DEF"/>
    <w:rsid w:val="0050166A"/>
    <w:rsid w:val="00502C33"/>
    <w:rsid w:val="00503503"/>
    <w:rsid w:val="005037CF"/>
    <w:rsid w:val="00503AB9"/>
    <w:rsid w:val="00504081"/>
    <w:rsid w:val="00505A52"/>
    <w:rsid w:val="005060A6"/>
    <w:rsid w:val="00506D51"/>
    <w:rsid w:val="00506DCD"/>
    <w:rsid w:val="005076AC"/>
    <w:rsid w:val="00507A83"/>
    <w:rsid w:val="00510C71"/>
    <w:rsid w:val="00511D2A"/>
    <w:rsid w:val="00512ECE"/>
    <w:rsid w:val="00513702"/>
    <w:rsid w:val="0051463A"/>
    <w:rsid w:val="00515596"/>
    <w:rsid w:val="0051691B"/>
    <w:rsid w:val="00516928"/>
    <w:rsid w:val="0051692B"/>
    <w:rsid w:val="00516C29"/>
    <w:rsid w:val="00517524"/>
    <w:rsid w:val="00517622"/>
    <w:rsid w:val="0051767A"/>
    <w:rsid w:val="00520A07"/>
    <w:rsid w:val="00520FDA"/>
    <w:rsid w:val="00521E34"/>
    <w:rsid w:val="00522211"/>
    <w:rsid w:val="005224DC"/>
    <w:rsid w:val="005226DD"/>
    <w:rsid w:val="0052311C"/>
    <w:rsid w:val="0052351F"/>
    <w:rsid w:val="005242A0"/>
    <w:rsid w:val="00524728"/>
    <w:rsid w:val="00524F77"/>
    <w:rsid w:val="0052555F"/>
    <w:rsid w:val="00525D4D"/>
    <w:rsid w:val="00525E43"/>
    <w:rsid w:val="0052667D"/>
    <w:rsid w:val="005267CA"/>
    <w:rsid w:val="005271AB"/>
    <w:rsid w:val="005279F5"/>
    <w:rsid w:val="00527B02"/>
    <w:rsid w:val="00527EC8"/>
    <w:rsid w:val="0053221E"/>
    <w:rsid w:val="005322D6"/>
    <w:rsid w:val="005325CD"/>
    <w:rsid w:val="005325D5"/>
    <w:rsid w:val="00533071"/>
    <w:rsid w:val="00533147"/>
    <w:rsid w:val="005335AE"/>
    <w:rsid w:val="00537A31"/>
    <w:rsid w:val="005449A1"/>
    <w:rsid w:val="00545FC8"/>
    <w:rsid w:val="00547286"/>
    <w:rsid w:val="0054730C"/>
    <w:rsid w:val="005477BF"/>
    <w:rsid w:val="0055018A"/>
    <w:rsid w:val="00552D43"/>
    <w:rsid w:val="00553E53"/>
    <w:rsid w:val="00554040"/>
    <w:rsid w:val="005542BA"/>
    <w:rsid w:val="00555C9F"/>
    <w:rsid w:val="0055647E"/>
    <w:rsid w:val="00557D9A"/>
    <w:rsid w:val="005604BF"/>
    <w:rsid w:val="00560BE7"/>
    <w:rsid w:val="005618BD"/>
    <w:rsid w:val="0056228E"/>
    <w:rsid w:val="005631F5"/>
    <w:rsid w:val="00563914"/>
    <w:rsid w:val="005647AD"/>
    <w:rsid w:val="00564ECC"/>
    <w:rsid w:val="005665F4"/>
    <w:rsid w:val="005673D9"/>
    <w:rsid w:val="005676E4"/>
    <w:rsid w:val="00567BA6"/>
    <w:rsid w:val="005709A4"/>
    <w:rsid w:val="00570AF6"/>
    <w:rsid w:val="00570F73"/>
    <w:rsid w:val="00571755"/>
    <w:rsid w:val="00573604"/>
    <w:rsid w:val="0057380D"/>
    <w:rsid w:val="00573E1E"/>
    <w:rsid w:val="00575104"/>
    <w:rsid w:val="00576B79"/>
    <w:rsid w:val="005771BE"/>
    <w:rsid w:val="00577C47"/>
    <w:rsid w:val="00580485"/>
    <w:rsid w:val="00580B6B"/>
    <w:rsid w:val="00580DB7"/>
    <w:rsid w:val="00580F70"/>
    <w:rsid w:val="00582147"/>
    <w:rsid w:val="0058222F"/>
    <w:rsid w:val="005822A7"/>
    <w:rsid w:val="00583803"/>
    <w:rsid w:val="00583C01"/>
    <w:rsid w:val="00584401"/>
    <w:rsid w:val="00584A64"/>
    <w:rsid w:val="005857E4"/>
    <w:rsid w:val="0058695D"/>
    <w:rsid w:val="00590362"/>
    <w:rsid w:val="00590AD7"/>
    <w:rsid w:val="00591090"/>
    <w:rsid w:val="00592201"/>
    <w:rsid w:val="00592A95"/>
    <w:rsid w:val="00593777"/>
    <w:rsid w:val="0059773B"/>
    <w:rsid w:val="005A09A4"/>
    <w:rsid w:val="005A5BAD"/>
    <w:rsid w:val="005A5BEF"/>
    <w:rsid w:val="005A5E87"/>
    <w:rsid w:val="005A68F5"/>
    <w:rsid w:val="005A6FC0"/>
    <w:rsid w:val="005A710E"/>
    <w:rsid w:val="005A749C"/>
    <w:rsid w:val="005B0772"/>
    <w:rsid w:val="005B0C12"/>
    <w:rsid w:val="005B20A7"/>
    <w:rsid w:val="005B23D8"/>
    <w:rsid w:val="005B2F63"/>
    <w:rsid w:val="005B4286"/>
    <w:rsid w:val="005B589D"/>
    <w:rsid w:val="005B5E17"/>
    <w:rsid w:val="005B6C9F"/>
    <w:rsid w:val="005C1586"/>
    <w:rsid w:val="005C2777"/>
    <w:rsid w:val="005C2F45"/>
    <w:rsid w:val="005C40DE"/>
    <w:rsid w:val="005C46DD"/>
    <w:rsid w:val="005C4B0C"/>
    <w:rsid w:val="005C58DF"/>
    <w:rsid w:val="005C5D73"/>
    <w:rsid w:val="005C6555"/>
    <w:rsid w:val="005C6CA9"/>
    <w:rsid w:val="005D0E6F"/>
    <w:rsid w:val="005D0F13"/>
    <w:rsid w:val="005D16C8"/>
    <w:rsid w:val="005D27AF"/>
    <w:rsid w:val="005D31FC"/>
    <w:rsid w:val="005D3D81"/>
    <w:rsid w:val="005D4620"/>
    <w:rsid w:val="005D65AA"/>
    <w:rsid w:val="005E0276"/>
    <w:rsid w:val="005E0326"/>
    <w:rsid w:val="005E240F"/>
    <w:rsid w:val="005E24BC"/>
    <w:rsid w:val="005E41DA"/>
    <w:rsid w:val="005E6292"/>
    <w:rsid w:val="005E6F57"/>
    <w:rsid w:val="005F1CDC"/>
    <w:rsid w:val="005F2977"/>
    <w:rsid w:val="005F3C72"/>
    <w:rsid w:val="005F3CEF"/>
    <w:rsid w:val="005F42BE"/>
    <w:rsid w:val="005F461A"/>
    <w:rsid w:val="005F4707"/>
    <w:rsid w:val="005F56F9"/>
    <w:rsid w:val="005F5701"/>
    <w:rsid w:val="005F5D44"/>
    <w:rsid w:val="00600B71"/>
    <w:rsid w:val="006016CA"/>
    <w:rsid w:val="00601804"/>
    <w:rsid w:val="00601BAD"/>
    <w:rsid w:val="0060221C"/>
    <w:rsid w:val="00602A9A"/>
    <w:rsid w:val="00602CE1"/>
    <w:rsid w:val="00603AE3"/>
    <w:rsid w:val="00603BB5"/>
    <w:rsid w:val="00604D29"/>
    <w:rsid w:val="0060563F"/>
    <w:rsid w:val="00605B07"/>
    <w:rsid w:val="00605E18"/>
    <w:rsid w:val="0060648A"/>
    <w:rsid w:val="006066CF"/>
    <w:rsid w:val="00606FBE"/>
    <w:rsid w:val="00607EDE"/>
    <w:rsid w:val="006114A8"/>
    <w:rsid w:val="00613420"/>
    <w:rsid w:val="006137C9"/>
    <w:rsid w:val="006142E9"/>
    <w:rsid w:val="0061575D"/>
    <w:rsid w:val="0061605A"/>
    <w:rsid w:val="006167C5"/>
    <w:rsid w:val="00616A49"/>
    <w:rsid w:val="006220B5"/>
    <w:rsid w:val="00622373"/>
    <w:rsid w:val="00622790"/>
    <w:rsid w:val="00622F64"/>
    <w:rsid w:val="00623AB5"/>
    <w:rsid w:val="00623FDD"/>
    <w:rsid w:val="00624C08"/>
    <w:rsid w:val="00626317"/>
    <w:rsid w:val="00626D9E"/>
    <w:rsid w:val="006301FC"/>
    <w:rsid w:val="006302F8"/>
    <w:rsid w:val="0063041A"/>
    <w:rsid w:val="006308AA"/>
    <w:rsid w:val="006310C1"/>
    <w:rsid w:val="0063268C"/>
    <w:rsid w:val="00632B5B"/>
    <w:rsid w:val="00635A8B"/>
    <w:rsid w:val="00635C20"/>
    <w:rsid w:val="0063666D"/>
    <w:rsid w:val="00641623"/>
    <w:rsid w:val="00642689"/>
    <w:rsid w:val="00643140"/>
    <w:rsid w:val="0064335F"/>
    <w:rsid w:val="0064371F"/>
    <w:rsid w:val="006451DC"/>
    <w:rsid w:val="006461BA"/>
    <w:rsid w:val="0064691C"/>
    <w:rsid w:val="006478C7"/>
    <w:rsid w:val="0065048B"/>
    <w:rsid w:val="0065341A"/>
    <w:rsid w:val="00654324"/>
    <w:rsid w:val="0065524B"/>
    <w:rsid w:val="00655BDB"/>
    <w:rsid w:val="00656E93"/>
    <w:rsid w:val="006578B9"/>
    <w:rsid w:val="00657B41"/>
    <w:rsid w:val="006609CC"/>
    <w:rsid w:val="0066207D"/>
    <w:rsid w:val="00662D46"/>
    <w:rsid w:val="00663DE4"/>
    <w:rsid w:val="006649D2"/>
    <w:rsid w:val="00664CC5"/>
    <w:rsid w:val="00666875"/>
    <w:rsid w:val="00666EF9"/>
    <w:rsid w:val="00666F40"/>
    <w:rsid w:val="00667FE6"/>
    <w:rsid w:val="006705B2"/>
    <w:rsid w:val="00670687"/>
    <w:rsid w:val="00670B84"/>
    <w:rsid w:val="00671E9F"/>
    <w:rsid w:val="006730E5"/>
    <w:rsid w:val="0067323B"/>
    <w:rsid w:val="006743E9"/>
    <w:rsid w:val="0067462C"/>
    <w:rsid w:val="00676B6B"/>
    <w:rsid w:val="00677B32"/>
    <w:rsid w:val="00677F99"/>
    <w:rsid w:val="006804E1"/>
    <w:rsid w:val="00680D0C"/>
    <w:rsid w:val="0068141D"/>
    <w:rsid w:val="00684A89"/>
    <w:rsid w:val="00684E6A"/>
    <w:rsid w:val="00684F25"/>
    <w:rsid w:val="006865A2"/>
    <w:rsid w:val="00691814"/>
    <w:rsid w:val="006923CF"/>
    <w:rsid w:val="00693762"/>
    <w:rsid w:val="00693C2A"/>
    <w:rsid w:val="00695F24"/>
    <w:rsid w:val="00695FBA"/>
    <w:rsid w:val="00696FD1"/>
    <w:rsid w:val="006A0292"/>
    <w:rsid w:val="006A1071"/>
    <w:rsid w:val="006A2090"/>
    <w:rsid w:val="006A2CE4"/>
    <w:rsid w:val="006A2D96"/>
    <w:rsid w:val="006A3613"/>
    <w:rsid w:val="006A3856"/>
    <w:rsid w:val="006A3AE0"/>
    <w:rsid w:val="006A4B79"/>
    <w:rsid w:val="006A5A8A"/>
    <w:rsid w:val="006A5EAC"/>
    <w:rsid w:val="006A68BA"/>
    <w:rsid w:val="006A72C6"/>
    <w:rsid w:val="006B1410"/>
    <w:rsid w:val="006B1474"/>
    <w:rsid w:val="006B19AF"/>
    <w:rsid w:val="006B1BDA"/>
    <w:rsid w:val="006B35B3"/>
    <w:rsid w:val="006B3781"/>
    <w:rsid w:val="006B3DE9"/>
    <w:rsid w:val="006B47A6"/>
    <w:rsid w:val="006B785E"/>
    <w:rsid w:val="006C102A"/>
    <w:rsid w:val="006C1A76"/>
    <w:rsid w:val="006C2F94"/>
    <w:rsid w:val="006C333A"/>
    <w:rsid w:val="006C4760"/>
    <w:rsid w:val="006C55BE"/>
    <w:rsid w:val="006C5EF2"/>
    <w:rsid w:val="006C7A04"/>
    <w:rsid w:val="006D03B3"/>
    <w:rsid w:val="006D08CE"/>
    <w:rsid w:val="006D0931"/>
    <w:rsid w:val="006D10EA"/>
    <w:rsid w:val="006D2E65"/>
    <w:rsid w:val="006D3368"/>
    <w:rsid w:val="006D39BB"/>
    <w:rsid w:val="006D56EE"/>
    <w:rsid w:val="006D580D"/>
    <w:rsid w:val="006D5AD1"/>
    <w:rsid w:val="006D65BA"/>
    <w:rsid w:val="006D6D59"/>
    <w:rsid w:val="006D6F4D"/>
    <w:rsid w:val="006D72F4"/>
    <w:rsid w:val="006D76B2"/>
    <w:rsid w:val="006E0223"/>
    <w:rsid w:val="006E1926"/>
    <w:rsid w:val="006E20BD"/>
    <w:rsid w:val="006E49E3"/>
    <w:rsid w:val="006E5CA4"/>
    <w:rsid w:val="006E6C59"/>
    <w:rsid w:val="006E75AB"/>
    <w:rsid w:val="006E7945"/>
    <w:rsid w:val="006F0567"/>
    <w:rsid w:val="006F15BC"/>
    <w:rsid w:val="006F15BD"/>
    <w:rsid w:val="006F181E"/>
    <w:rsid w:val="006F37AD"/>
    <w:rsid w:val="006F3FD4"/>
    <w:rsid w:val="006F44FE"/>
    <w:rsid w:val="006F5082"/>
    <w:rsid w:val="006F664B"/>
    <w:rsid w:val="006F6B02"/>
    <w:rsid w:val="006F7341"/>
    <w:rsid w:val="00700037"/>
    <w:rsid w:val="00701B51"/>
    <w:rsid w:val="00701BAB"/>
    <w:rsid w:val="00702F8F"/>
    <w:rsid w:val="00703FB1"/>
    <w:rsid w:val="00704358"/>
    <w:rsid w:val="00705B76"/>
    <w:rsid w:val="00706921"/>
    <w:rsid w:val="00707A13"/>
    <w:rsid w:val="00707E0E"/>
    <w:rsid w:val="00711B59"/>
    <w:rsid w:val="00712386"/>
    <w:rsid w:val="00714F6D"/>
    <w:rsid w:val="00715D91"/>
    <w:rsid w:val="00715F0A"/>
    <w:rsid w:val="007160E2"/>
    <w:rsid w:val="00717629"/>
    <w:rsid w:val="00717870"/>
    <w:rsid w:val="00721BC2"/>
    <w:rsid w:val="007220C5"/>
    <w:rsid w:val="0072313D"/>
    <w:rsid w:val="0072360B"/>
    <w:rsid w:val="00723EA2"/>
    <w:rsid w:val="00724FE9"/>
    <w:rsid w:val="00725876"/>
    <w:rsid w:val="00725F4B"/>
    <w:rsid w:val="00727B87"/>
    <w:rsid w:val="00727C52"/>
    <w:rsid w:val="007301D0"/>
    <w:rsid w:val="0073182D"/>
    <w:rsid w:val="00732889"/>
    <w:rsid w:val="00732A13"/>
    <w:rsid w:val="00732ACF"/>
    <w:rsid w:val="00733862"/>
    <w:rsid w:val="00735403"/>
    <w:rsid w:val="00735830"/>
    <w:rsid w:val="00735A18"/>
    <w:rsid w:val="00735A63"/>
    <w:rsid w:val="00735AD4"/>
    <w:rsid w:val="00735B6E"/>
    <w:rsid w:val="007372FE"/>
    <w:rsid w:val="007400C0"/>
    <w:rsid w:val="0074036C"/>
    <w:rsid w:val="00741EED"/>
    <w:rsid w:val="00742E34"/>
    <w:rsid w:val="00743A79"/>
    <w:rsid w:val="007443CE"/>
    <w:rsid w:val="007452C7"/>
    <w:rsid w:val="00745EB7"/>
    <w:rsid w:val="00751186"/>
    <w:rsid w:val="00752207"/>
    <w:rsid w:val="007522EF"/>
    <w:rsid w:val="007529B8"/>
    <w:rsid w:val="00752CE0"/>
    <w:rsid w:val="007534D6"/>
    <w:rsid w:val="0075537A"/>
    <w:rsid w:val="0075575C"/>
    <w:rsid w:val="007566A2"/>
    <w:rsid w:val="00756C3C"/>
    <w:rsid w:val="00760C82"/>
    <w:rsid w:val="00760F14"/>
    <w:rsid w:val="0076116F"/>
    <w:rsid w:val="00763FA9"/>
    <w:rsid w:val="007644A1"/>
    <w:rsid w:val="007665A8"/>
    <w:rsid w:val="007667B0"/>
    <w:rsid w:val="00766E24"/>
    <w:rsid w:val="0077028D"/>
    <w:rsid w:val="0077047D"/>
    <w:rsid w:val="00770661"/>
    <w:rsid w:val="0077260B"/>
    <w:rsid w:val="007729FF"/>
    <w:rsid w:val="00772EC1"/>
    <w:rsid w:val="00775A4D"/>
    <w:rsid w:val="00775FC3"/>
    <w:rsid w:val="0077652B"/>
    <w:rsid w:val="00777A12"/>
    <w:rsid w:val="00777F86"/>
    <w:rsid w:val="0078044E"/>
    <w:rsid w:val="00780452"/>
    <w:rsid w:val="007807CE"/>
    <w:rsid w:val="00780B3E"/>
    <w:rsid w:val="00780DE4"/>
    <w:rsid w:val="007819AB"/>
    <w:rsid w:val="00782593"/>
    <w:rsid w:val="007838BC"/>
    <w:rsid w:val="00783B84"/>
    <w:rsid w:val="0078612D"/>
    <w:rsid w:val="00786556"/>
    <w:rsid w:val="00787ED3"/>
    <w:rsid w:val="00787F5C"/>
    <w:rsid w:val="0079220E"/>
    <w:rsid w:val="00792551"/>
    <w:rsid w:val="00792A63"/>
    <w:rsid w:val="00792D23"/>
    <w:rsid w:val="0079454D"/>
    <w:rsid w:val="00796852"/>
    <w:rsid w:val="007A0562"/>
    <w:rsid w:val="007A15EC"/>
    <w:rsid w:val="007A2049"/>
    <w:rsid w:val="007A2A55"/>
    <w:rsid w:val="007A597E"/>
    <w:rsid w:val="007A7183"/>
    <w:rsid w:val="007A761E"/>
    <w:rsid w:val="007B0679"/>
    <w:rsid w:val="007B1040"/>
    <w:rsid w:val="007B4145"/>
    <w:rsid w:val="007B4525"/>
    <w:rsid w:val="007B4952"/>
    <w:rsid w:val="007B4F57"/>
    <w:rsid w:val="007B730E"/>
    <w:rsid w:val="007C041A"/>
    <w:rsid w:val="007C0734"/>
    <w:rsid w:val="007C078F"/>
    <w:rsid w:val="007C0C86"/>
    <w:rsid w:val="007C13B2"/>
    <w:rsid w:val="007C17B0"/>
    <w:rsid w:val="007C272B"/>
    <w:rsid w:val="007C2A69"/>
    <w:rsid w:val="007C3C8C"/>
    <w:rsid w:val="007C416D"/>
    <w:rsid w:val="007C4836"/>
    <w:rsid w:val="007C4B04"/>
    <w:rsid w:val="007C4C1E"/>
    <w:rsid w:val="007C5584"/>
    <w:rsid w:val="007C5AE6"/>
    <w:rsid w:val="007C6057"/>
    <w:rsid w:val="007C6A9A"/>
    <w:rsid w:val="007D17E6"/>
    <w:rsid w:val="007D37BE"/>
    <w:rsid w:val="007D4C1E"/>
    <w:rsid w:val="007D69E8"/>
    <w:rsid w:val="007D6B45"/>
    <w:rsid w:val="007D6E70"/>
    <w:rsid w:val="007D70FB"/>
    <w:rsid w:val="007E0C9D"/>
    <w:rsid w:val="007E10A1"/>
    <w:rsid w:val="007E1235"/>
    <w:rsid w:val="007E1C87"/>
    <w:rsid w:val="007E2048"/>
    <w:rsid w:val="007E252D"/>
    <w:rsid w:val="007E29D3"/>
    <w:rsid w:val="007E3B13"/>
    <w:rsid w:val="007E3C7D"/>
    <w:rsid w:val="007E40EE"/>
    <w:rsid w:val="007E4202"/>
    <w:rsid w:val="007E4890"/>
    <w:rsid w:val="007E56E2"/>
    <w:rsid w:val="007E59DA"/>
    <w:rsid w:val="007E69F3"/>
    <w:rsid w:val="007E6A12"/>
    <w:rsid w:val="007E6C9F"/>
    <w:rsid w:val="007E6D5A"/>
    <w:rsid w:val="007F072B"/>
    <w:rsid w:val="007F09EB"/>
    <w:rsid w:val="007F0CAA"/>
    <w:rsid w:val="007F16B5"/>
    <w:rsid w:val="007F1F10"/>
    <w:rsid w:val="007F3214"/>
    <w:rsid w:val="007F352B"/>
    <w:rsid w:val="007F5FC5"/>
    <w:rsid w:val="007F60AD"/>
    <w:rsid w:val="007F619F"/>
    <w:rsid w:val="007F66DB"/>
    <w:rsid w:val="007F7293"/>
    <w:rsid w:val="008008B1"/>
    <w:rsid w:val="008021B9"/>
    <w:rsid w:val="0080392B"/>
    <w:rsid w:val="008063A6"/>
    <w:rsid w:val="008068E8"/>
    <w:rsid w:val="00806D92"/>
    <w:rsid w:val="00806E09"/>
    <w:rsid w:val="00812D33"/>
    <w:rsid w:val="0081330B"/>
    <w:rsid w:val="00813486"/>
    <w:rsid w:val="00813EBC"/>
    <w:rsid w:val="008142E9"/>
    <w:rsid w:val="008144C8"/>
    <w:rsid w:val="008145BA"/>
    <w:rsid w:val="00814604"/>
    <w:rsid w:val="00815609"/>
    <w:rsid w:val="00816D5C"/>
    <w:rsid w:val="00816DED"/>
    <w:rsid w:val="008175D6"/>
    <w:rsid w:val="00817B6D"/>
    <w:rsid w:val="008207E7"/>
    <w:rsid w:val="00820E71"/>
    <w:rsid w:val="008210DF"/>
    <w:rsid w:val="00821AC2"/>
    <w:rsid w:val="00822884"/>
    <w:rsid w:val="008231F0"/>
    <w:rsid w:val="0082452B"/>
    <w:rsid w:val="00825206"/>
    <w:rsid w:val="00825226"/>
    <w:rsid w:val="00826962"/>
    <w:rsid w:val="008272FE"/>
    <w:rsid w:val="008274EF"/>
    <w:rsid w:val="00827DE5"/>
    <w:rsid w:val="0083010A"/>
    <w:rsid w:val="00830661"/>
    <w:rsid w:val="00830B03"/>
    <w:rsid w:val="00831871"/>
    <w:rsid w:val="00832271"/>
    <w:rsid w:val="00832528"/>
    <w:rsid w:val="00832A76"/>
    <w:rsid w:val="00832AF2"/>
    <w:rsid w:val="00832C29"/>
    <w:rsid w:val="00832FB6"/>
    <w:rsid w:val="00833B86"/>
    <w:rsid w:val="008346DA"/>
    <w:rsid w:val="008347CC"/>
    <w:rsid w:val="00834BCD"/>
    <w:rsid w:val="008356B4"/>
    <w:rsid w:val="00835E46"/>
    <w:rsid w:val="0083690D"/>
    <w:rsid w:val="00836C2C"/>
    <w:rsid w:val="008375FC"/>
    <w:rsid w:val="00840D4C"/>
    <w:rsid w:val="0084244D"/>
    <w:rsid w:val="00842571"/>
    <w:rsid w:val="008437DE"/>
    <w:rsid w:val="00843B22"/>
    <w:rsid w:val="00843F1D"/>
    <w:rsid w:val="008453DE"/>
    <w:rsid w:val="0084576C"/>
    <w:rsid w:val="008457DC"/>
    <w:rsid w:val="00846023"/>
    <w:rsid w:val="00847598"/>
    <w:rsid w:val="0084762C"/>
    <w:rsid w:val="008476C7"/>
    <w:rsid w:val="00850CC9"/>
    <w:rsid w:val="008514A9"/>
    <w:rsid w:val="008518F6"/>
    <w:rsid w:val="00852B50"/>
    <w:rsid w:val="0085312E"/>
    <w:rsid w:val="00853195"/>
    <w:rsid w:val="0085572F"/>
    <w:rsid w:val="00856678"/>
    <w:rsid w:val="008567D2"/>
    <w:rsid w:val="008574FB"/>
    <w:rsid w:val="00860419"/>
    <w:rsid w:val="00860C2D"/>
    <w:rsid w:val="0086189D"/>
    <w:rsid w:val="00861A27"/>
    <w:rsid w:val="00861A38"/>
    <w:rsid w:val="00861AB5"/>
    <w:rsid w:val="0086253C"/>
    <w:rsid w:val="008638E0"/>
    <w:rsid w:val="008673AD"/>
    <w:rsid w:val="00867B0B"/>
    <w:rsid w:val="00867BF2"/>
    <w:rsid w:val="00867DD0"/>
    <w:rsid w:val="008712AA"/>
    <w:rsid w:val="00871811"/>
    <w:rsid w:val="00872D94"/>
    <w:rsid w:val="00872FBD"/>
    <w:rsid w:val="008730FB"/>
    <w:rsid w:val="00874E5C"/>
    <w:rsid w:val="0087594F"/>
    <w:rsid w:val="00875B28"/>
    <w:rsid w:val="00880550"/>
    <w:rsid w:val="00880783"/>
    <w:rsid w:val="00884846"/>
    <w:rsid w:val="00885453"/>
    <w:rsid w:val="008855CB"/>
    <w:rsid w:val="00885A1C"/>
    <w:rsid w:val="00885B10"/>
    <w:rsid w:val="00885BC7"/>
    <w:rsid w:val="0088693B"/>
    <w:rsid w:val="008871F7"/>
    <w:rsid w:val="008875BA"/>
    <w:rsid w:val="00887FA1"/>
    <w:rsid w:val="00890C14"/>
    <w:rsid w:val="00891E39"/>
    <w:rsid w:val="00892B51"/>
    <w:rsid w:val="00893D4A"/>
    <w:rsid w:val="00894ABB"/>
    <w:rsid w:val="008952B0"/>
    <w:rsid w:val="00896710"/>
    <w:rsid w:val="00896871"/>
    <w:rsid w:val="00896F6E"/>
    <w:rsid w:val="00897AA9"/>
    <w:rsid w:val="008A248E"/>
    <w:rsid w:val="008A3496"/>
    <w:rsid w:val="008A421C"/>
    <w:rsid w:val="008A50B4"/>
    <w:rsid w:val="008A5FD7"/>
    <w:rsid w:val="008A6343"/>
    <w:rsid w:val="008A7269"/>
    <w:rsid w:val="008B0261"/>
    <w:rsid w:val="008B040A"/>
    <w:rsid w:val="008B054A"/>
    <w:rsid w:val="008B0D7A"/>
    <w:rsid w:val="008B200F"/>
    <w:rsid w:val="008B2123"/>
    <w:rsid w:val="008B2FF6"/>
    <w:rsid w:val="008B5B2B"/>
    <w:rsid w:val="008B5B57"/>
    <w:rsid w:val="008B6F19"/>
    <w:rsid w:val="008B7810"/>
    <w:rsid w:val="008B7C55"/>
    <w:rsid w:val="008C0880"/>
    <w:rsid w:val="008C1800"/>
    <w:rsid w:val="008C18E4"/>
    <w:rsid w:val="008C200F"/>
    <w:rsid w:val="008C269D"/>
    <w:rsid w:val="008C275E"/>
    <w:rsid w:val="008C32D6"/>
    <w:rsid w:val="008C3847"/>
    <w:rsid w:val="008C3E9D"/>
    <w:rsid w:val="008C4FAA"/>
    <w:rsid w:val="008C769D"/>
    <w:rsid w:val="008C7C99"/>
    <w:rsid w:val="008C7ED2"/>
    <w:rsid w:val="008D060A"/>
    <w:rsid w:val="008D08D1"/>
    <w:rsid w:val="008D15FB"/>
    <w:rsid w:val="008D19DC"/>
    <w:rsid w:val="008D1E7E"/>
    <w:rsid w:val="008D2125"/>
    <w:rsid w:val="008D27B5"/>
    <w:rsid w:val="008D35E7"/>
    <w:rsid w:val="008D364B"/>
    <w:rsid w:val="008D3F91"/>
    <w:rsid w:val="008D42E6"/>
    <w:rsid w:val="008D52ED"/>
    <w:rsid w:val="008D769A"/>
    <w:rsid w:val="008E031B"/>
    <w:rsid w:val="008E0AAE"/>
    <w:rsid w:val="008E12DD"/>
    <w:rsid w:val="008E159F"/>
    <w:rsid w:val="008E1B64"/>
    <w:rsid w:val="008E1BC0"/>
    <w:rsid w:val="008E4DE2"/>
    <w:rsid w:val="008F2338"/>
    <w:rsid w:val="008F432A"/>
    <w:rsid w:val="008F43A7"/>
    <w:rsid w:val="008F43E7"/>
    <w:rsid w:val="008F488A"/>
    <w:rsid w:val="008F4965"/>
    <w:rsid w:val="008F597F"/>
    <w:rsid w:val="008F5C1E"/>
    <w:rsid w:val="009004E1"/>
    <w:rsid w:val="0090057A"/>
    <w:rsid w:val="009009EE"/>
    <w:rsid w:val="009012C7"/>
    <w:rsid w:val="009012F8"/>
    <w:rsid w:val="00901EB2"/>
    <w:rsid w:val="00902948"/>
    <w:rsid w:val="00902AEB"/>
    <w:rsid w:val="00903F41"/>
    <w:rsid w:val="009047EF"/>
    <w:rsid w:val="0090483D"/>
    <w:rsid w:val="00904F2E"/>
    <w:rsid w:val="00905767"/>
    <w:rsid w:val="0090603C"/>
    <w:rsid w:val="0090703E"/>
    <w:rsid w:val="00907EF3"/>
    <w:rsid w:val="00910369"/>
    <w:rsid w:val="00911CF0"/>
    <w:rsid w:val="00911DF5"/>
    <w:rsid w:val="00912D29"/>
    <w:rsid w:val="00913266"/>
    <w:rsid w:val="00913CB3"/>
    <w:rsid w:val="00913E5D"/>
    <w:rsid w:val="00915CDA"/>
    <w:rsid w:val="00915E9A"/>
    <w:rsid w:val="00916483"/>
    <w:rsid w:val="0091694B"/>
    <w:rsid w:val="00916A80"/>
    <w:rsid w:val="00917853"/>
    <w:rsid w:val="00917F01"/>
    <w:rsid w:val="00921731"/>
    <w:rsid w:val="00921C58"/>
    <w:rsid w:val="00922915"/>
    <w:rsid w:val="00922A9F"/>
    <w:rsid w:val="00923327"/>
    <w:rsid w:val="00926253"/>
    <w:rsid w:val="009264AB"/>
    <w:rsid w:val="00926DBE"/>
    <w:rsid w:val="00931154"/>
    <w:rsid w:val="00931541"/>
    <w:rsid w:val="00931EBE"/>
    <w:rsid w:val="00931F75"/>
    <w:rsid w:val="00932AFE"/>
    <w:rsid w:val="00932B17"/>
    <w:rsid w:val="009333FF"/>
    <w:rsid w:val="009334F2"/>
    <w:rsid w:val="00934795"/>
    <w:rsid w:val="00935A51"/>
    <w:rsid w:val="00935E52"/>
    <w:rsid w:val="00936711"/>
    <w:rsid w:val="009370CA"/>
    <w:rsid w:val="00937353"/>
    <w:rsid w:val="009379E0"/>
    <w:rsid w:val="0094093F"/>
    <w:rsid w:val="0094167C"/>
    <w:rsid w:val="00942A06"/>
    <w:rsid w:val="00942FC1"/>
    <w:rsid w:val="00943416"/>
    <w:rsid w:val="009434CB"/>
    <w:rsid w:val="00943B15"/>
    <w:rsid w:val="0094466D"/>
    <w:rsid w:val="00944E21"/>
    <w:rsid w:val="00944E31"/>
    <w:rsid w:val="009452A5"/>
    <w:rsid w:val="00945D3D"/>
    <w:rsid w:val="00946AF8"/>
    <w:rsid w:val="00947824"/>
    <w:rsid w:val="00947A38"/>
    <w:rsid w:val="00947E93"/>
    <w:rsid w:val="00950940"/>
    <w:rsid w:val="0095143C"/>
    <w:rsid w:val="00951E50"/>
    <w:rsid w:val="00952106"/>
    <w:rsid w:val="00954F12"/>
    <w:rsid w:val="00955AEE"/>
    <w:rsid w:val="0095735F"/>
    <w:rsid w:val="00957628"/>
    <w:rsid w:val="00957EC6"/>
    <w:rsid w:val="00960085"/>
    <w:rsid w:val="009602BA"/>
    <w:rsid w:val="00961D88"/>
    <w:rsid w:val="00961F8F"/>
    <w:rsid w:val="00963A8E"/>
    <w:rsid w:val="0096583D"/>
    <w:rsid w:val="00966434"/>
    <w:rsid w:val="00966748"/>
    <w:rsid w:val="009671B4"/>
    <w:rsid w:val="009673D6"/>
    <w:rsid w:val="009675BE"/>
    <w:rsid w:val="0097047D"/>
    <w:rsid w:val="0097323F"/>
    <w:rsid w:val="009739FC"/>
    <w:rsid w:val="00975317"/>
    <w:rsid w:val="0097680E"/>
    <w:rsid w:val="00977370"/>
    <w:rsid w:val="009804C6"/>
    <w:rsid w:val="00980B73"/>
    <w:rsid w:val="00983FF0"/>
    <w:rsid w:val="00984FE5"/>
    <w:rsid w:val="009854E0"/>
    <w:rsid w:val="00987147"/>
    <w:rsid w:val="00987E56"/>
    <w:rsid w:val="00990A8F"/>
    <w:rsid w:val="00991254"/>
    <w:rsid w:val="00991314"/>
    <w:rsid w:val="00991CD1"/>
    <w:rsid w:val="00992541"/>
    <w:rsid w:val="009931E9"/>
    <w:rsid w:val="0099383D"/>
    <w:rsid w:val="0099475A"/>
    <w:rsid w:val="00997AD7"/>
    <w:rsid w:val="00997DF3"/>
    <w:rsid w:val="009A1098"/>
    <w:rsid w:val="009A1F0E"/>
    <w:rsid w:val="009A2081"/>
    <w:rsid w:val="009A35EA"/>
    <w:rsid w:val="009A4A69"/>
    <w:rsid w:val="009A5046"/>
    <w:rsid w:val="009A66B0"/>
    <w:rsid w:val="009A7CF5"/>
    <w:rsid w:val="009B1A6C"/>
    <w:rsid w:val="009B1EA9"/>
    <w:rsid w:val="009B23B6"/>
    <w:rsid w:val="009B2F2B"/>
    <w:rsid w:val="009B32E1"/>
    <w:rsid w:val="009B36B3"/>
    <w:rsid w:val="009B38F3"/>
    <w:rsid w:val="009B3B4F"/>
    <w:rsid w:val="009B3FE9"/>
    <w:rsid w:val="009B5D86"/>
    <w:rsid w:val="009B69BF"/>
    <w:rsid w:val="009B77B5"/>
    <w:rsid w:val="009C1399"/>
    <w:rsid w:val="009C13FE"/>
    <w:rsid w:val="009C34E1"/>
    <w:rsid w:val="009C39A3"/>
    <w:rsid w:val="009C449B"/>
    <w:rsid w:val="009C5D6F"/>
    <w:rsid w:val="009C5F59"/>
    <w:rsid w:val="009C61A5"/>
    <w:rsid w:val="009C7042"/>
    <w:rsid w:val="009C782F"/>
    <w:rsid w:val="009D0430"/>
    <w:rsid w:val="009D2BC7"/>
    <w:rsid w:val="009D3923"/>
    <w:rsid w:val="009D3C5F"/>
    <w:rsid w:val="009D50BF"/>
    <w:rsid w:val="009D5967"/>
    <w:rsid w:val="009D5AA6"/>
    <w:rsid w:val="009D5ED5"/>
    <w:rsid w:val="009D69C1"/>
    <w:rsid w:val="009D6C18"/>
    <w:rsid w:val="009D777D"/>
    <w:rsid w:val="009E05D5"/>
    <w:rsid w:val="009E1A17"/>
    <w:rsid w:val="009E28FC"/>
    <w:rsid w:val="009E30B7"/>
    <w:rsid w:val="009E4469"/>
    <w:rsid w:val="009E4CA3"/>
    <w:rsid w:val="009E574A"/>
    <w:rsid w:val="009E5F66"/>
    <w:rsid w:val="009E5FE6"/>
    <w:rsid w:val="009E666B"/>
    <w:rsid w:val="009F10DE"/>
    <w:rsid w:val="009F158C"/>
    <w:rsid w:val="009F5612"/>
    <w:rsid w:val="009F5BB5"/>
    <w:rsid w:val="009F5EDC"/>
    <w:rsid w:val="009F65AA"/>
    <w:rsid w:val="009F6AB4"/>
    <w:rsid w:val="009F7056"/>
    <w:rsid w:val="00A000A5"/>
    <w:rsid w:val="00A005C9"/>
    <w:rsid w:val="00A00BD8"/>
    <w:rsid w:val="00A0117B"/>
    <w:rsid w:val="00A0138B"/>
    <w:rsid w:val="00A02F52"/>
    <w:rsid w:val="00A04AE1"/>
    <w:rsid w:val="00A0514A"/>
    <w:rsid w:val="00A052DD"/>
    <w:rsid w:val="00A06889"/>
    <w:rsid w:val="00A06D17"/>
    <w:rsid w:val="00A06EA7"/>
    <w:rsid w:val="00A101D7"/>
    <w:rsid w:val="00A10BCE"/>
    <w:rsid w:val="00A11021"/>
    <w:rsid w:val="00A11063"/>
    <w:rsid w:val="00A13148"/>
    <w:rsid w:val="00A134D6"/>
    <w:rsid w:val="00A1373A"/>
    <w:rsid w:val="00A13E01"/>
    <w:rsid w:val="00A1420C"/>
    <w:rsid w:val="00A152A9"/>
    <w:rsid w:val="00A15D80"/>
    <w:rsid w:val="00A21747"/>
    <w:rsid w:val="00A21865"/>
    <w:rsid w:val="00A21A70"/>
    <w:rsid w:val="00A22075"/>
    <w:rsid w:val="00A228A8"/>
    <w:rsid w:val="00A23ACD"/>
    <w:rsid w:val="00A250C1"/>
    <w:rsid w:val="00A305CD"/>
    <w:rsid w:val="00A3063C"/>
    <w:rsid w:val="00A328E9"/>
    <w:rsid w:val="00A32F6C"/>
    <w:rsid w:val="00A33425"/>
    <w:rsid w:val="00A34F95"/>
    <w:rsid w:val="00A35135"/>
    <w:rsid w:val="00A356D8"/>
    <w:rsid w:val="00A35CE5"/>
    <w:rsid w:val="00A35F37"/>
    <w:rsid w:val="00A37C91"/>
    <w:rsid w:val="00A42077"/>
    <w:rsid w:val="00A4252C"/>
    <w:rsid w:val="00A430F3"/>
    <w:rsid w:val="00A43481"/>
    <w:rsid w:val="00A45632"/>
    <w:rsid w:val="00A45EB8"/>
    <w:rsid w:val="00A4643F"/>
    <w:rsid w:val="00A46D8B"/>
    <w:rsid w:val="00A471E4"/>
    <w:rsid w:val="00A475A3"/>
    <w:rsid w:val="00A503E5"/>
    <w:rsid w:val="00A51547"/>
    <w:rsid w:val="00A521F1"/>
    <w:rsid w:val="00A52218"/>
    <w:rsid w:val="00A53FA5"/>
    <w:rsid w:val="00A557B4"/>
    <w:rsid w:val="00A5683C"/>
    <w:rsid w:val="00A57F3A"/>
    <w:rsid w:val="00A609A0"/>
    <w:rsid w:val="00A62CF0"/>
    <w:rsid w:val="00A63271"/>
    <w:rsid w:val="00A6381F"/>
    <w:rsid w:val="00A6456D"/>
    <w:rsid w:val="00A651BB"/>
    <w:rsid w:val="00A657D0"/>
    <w:rsid w:val="00A658E8"/>
    <w:rsid w:val="00A6669D"/>
    <w:rsid w:val="00A66924"/>
    <w:rsid w:val="00A66B04"/>
    <w:rsid w:val="00A66D5B"/>
    <w:rsid w:val="00A672F8"/>
    <w:rsid w:val="00A7104F"/>
    <w:rsid w:val="00A71859"/>
    <w:rsid w:val="00A72FA6"/>
    <w:rsid w:val="00A740BD"/>
    <w:rsid w:val="00A74771"/>
    <w:rsid w:val="00A74A8D"/>
    <w:rsid w:val="00A7701B"/>
    <w:rsid w:val="00A82A13"/>
    <w:rsid w:val="00A83C6D"/>
    <w:rsid w:val="00A83E4B"/>
    <w:rsid w:val="00A85855"/>
    <w:rsid w:val="00A86641"/>
    <w:rsid w:val="00A875D0"/>
    <w:rsid w:val="00A87DC1"/>
    <w:rsid w:val="00A902B0"/>
    <w:rsid w:val="00A91280"/>
    <w:rsid w:val="00A914A9"/>
    <w:rsid w:val="00A934E5"/>
    <w:rsid w:val="00A9404E"/>
    <w:rsid w:val="00A94741"/>
    <w:rsid w:val="00A950DC"/>
    <w:rsid w:val="00A96075"/>
    <w:rsid w:val="00A965A7"/>
    <w:rsid w:val="00AA0830"/>
    <w:rsid w:val="00AA0EE8"/>
    <w:rsid w:val="00AA1683"/>
    <w:rsid w:val="00AA1E68"/>
    <w:rsid w:val="00AA22AC"/>
    <w:rsid w:val="00AA234C"/>
    <w:rsid w:val="00AA3483"/>
    <w:rsid w:val="00AA4651"/>
    <w:rsid w:val="00AA766D"/>
    <w:rsid w:val="00AA7A71"/>
    <w:rsid w:val="00AA7C39"/>
    <w:rsid w:val="00AB0EBD"/>
    <w:rsid w:val="00AB214E"/>
    <w:rsid w:val="00AB2AA2"/>
    <w:rsid w:val="00AB2E25"/>
    <w:rsid w:val="00AB312E"/>
    <w:rsid w:val="00AB4BA4"/>
    <w:rsid w:val="00AB4DD1"/>
    <w:rsid w:val="00AB5E22"/>
    <w:rsid w:val="00AB6E23"/>
    <w:rsid w:val="00AC07B4"/>
    <w:rsid w:val="00AC2E33"/>
    <w:rsid w:val="00AC34DD"/>
    <w:rsid w:val="00AC3B7F"/>
    <w:rsid w:val="00AC473E"/>
    <w:rsid w:val="00AC5F7B"/>
    <w:rsid w:val="00AC7B28"/>
    <w:rsid w:val="00AD05F2"/>
    <w:rsid w:val="00AD0A08"/>
    <w:rsid w:val="00AD108B"/>
    <w:rsid w:val="00AD17F3"/>
    <w:rsid w:val="00AD1B52"/>
    <w:rsid w:val="00AD2EBD"/>
    <w:rsid w:val="00AD369A"/>
    <w:rsid w:val="00AD3C37"/>
    <w:rsid w:val="00AD491D"/>
    <w:rsid w:val="00AD65F8"/>
    <w:rsid w:val="00AD7013"/>
    <w:rsid w:val="00AE0311"/>
    <w:rsid w:val="00AE062F"/>
    <w:rsid w:val="00AE0865"/>
    <w:rsid w:val="00AE0B37"/>
    <w:rsid w:val="00AE153F"/>
    <w:rsid w:val="00AE2588"/>
    <w:rsid w:val="00AE275C"/>
    <w:rsid w:val="00AE58E3"/>
    <w:rsid w:val="00AE6D79"/>
    <w:rsid w:val="00AE798D"/>
    <w:rsid w:val="00AE7B7B"/>
    <w:rsid w:val="00AE7C08"/>
    <w:rsid w:val="00AE7CA9"/>
    <w:rsid w:val="00AF2717"/>
    <w:rsid w:val="00AF2B84"/>
    <w:rsid w:val="00AF2D53"/>
    <w:rsid w:val="00AF2F74"/>
    <w:rsid w:val="00AF3242"/>
    <w:rsid w:val="00AF3D84"/>
    <w:rsid w:val="00AF46B4"/>
    <w:rsid w:val="00AF47C8"/>
    <w:rsid w:val="00AF482B"/>
    <w:rsid w:val="00AF584E"/>
    <w:rsid w:val="00AF5B50"/>
    <w:rsid w:val="00AF681E"/>
    <w:rsid w:val="00AF6EEA"/>
    <w:rsid w:val="00B0081D"/>
    <w:rsid w:val="00B01120"/>
    <w:rsid w:val="00B01ACE"/>
    <w:rsid w:val="00B02C6C"/>
    <w:rsid w:val="00B03633"/>
    <w:rsid w:val="00B0452B"/>
    <w:rsid w:val="00B04926"/>
    <w:rsid w:val="00B06A3E"/>
    <w:rsid w:val="00B07421"/>
    <w:rsid w:val="00B11491"/>
    <w:rsid w:val="00B12194"/>
    <w:rsid w:val="00B124FD"/>
    <w:rsid w:val="00B131C5"/>
    <w:rsid w:val="00B144F7"/>
    <w:rsid w:val="00B14F8A"/>
    <w:rsid w:val="00B156AA"/>
    <w:rsid w:val="00B16FBF"/>
    <w:rsid w:val="00B17119"/>
    <w:rsid w:val="00B17211"/>
    <w:rsid w:val="00B20772"/>
    <w:rsid w:val="00B2162F"/>
    <w:rsid w:val="00B21BAD"/>
    <w:rsid w:val="00B23DAE"/>
    <w:rsid w:val="00B24077"/>
    <w:rsid w:val="00B24E15"/>
    <w:rsid w:val="00B251AA"/>
    <w:rsid w:val="00B256BC"/>
    <w:rsid w:val="00B2717B"/>
    <w:rsid w:val="00B2757A"/>
    <w:rsid w:val="00B27E99"/>
    <w:rsid w:val="00B3002B"/>
    <w:rsid w:val="00B30AEC"/>
    <w:rsid w:val="00B329DC"/>
    <w:rsid w:val="00B3329B"/>
    <w:rsid w:val="00B3365E"/>
    <w:rsid w:val="00B35CA1"/>
    <w:rsid w:val="00B3649D"/>
    <w:rsid w:val="00B403F2"/>
    <w:rsid w:val="00B4097A"/>
    <w:rsid w:val="00B41697"/>
    <w:rsid w:val="00B41805"/>
    <w:rsid w:val="00B4444E"/>
    <w:rsid w:val="00B446DB"/>
    <w:rsid w:val="00B45C91"/>
    <w:rsid w:val="00B46324"/>
    <w:rsid w:val="00B46F29"/>
    <w:rsid w:val="00B47848"/>
    <w:rsid w:val="00B47FD4"/>
    <w:rsid w:val="00B50BDA"/>
    <w:rsid w:val="00B50E47"/>
    <w:rsid w:val="00B513D7"/>
    <w:rsid w:val="00B52484"/>
    <w:rsid w:val="00B52CB3"/>
    <w:rsid w:val="00B53B6B"/>
    <w:rsid w:val="00B54365"/>
    <w:rsid w:val="00B5532F"/>
    <w:rsid w:val="00B55776"/>
    <w:rsid w:val="00B565A9"/>
    <w:rsid w:val="00B60BAB"/>
    <w:rsid w:val="00B618B7"/>
    <w:rsid w:val="00B626D5"/>
    <w:rsid w:val="00B64494"/>
    <w:rsid w:val="00B6454C"/>
    <w:rsid w:val="00B64BED"/>
    <w:rsid w:val="00B65383"/>
    <w:rsid w:val="00B668D2"/>
    <w:rsid w:val="00B6706A"/>
    <w:rsid w:val="00B6743E"/>
    <w:rsid w:val="00B70CA5"/>
    <w:rsid w:val="00B7115A"/>
    <w:rsid w:val="00B728D8"/>
    <w:rsid w:val="00B74330"/>
    <w:rsid w:val="00B74E80"/>
    <w:rsid w:val="00B758B5"/>
    <w:rsid w:val="00B75AFC"/>
    <w:rsid w:val="00B75B16"/>
    <w:rsid w:val="00B75D34"/>
    <w:rsid w:val="00B76673"/>
    <w:rsid w:val="00B7674B"/>
    <w:rsid w:val="00B772D3"/>
    <w:rsid w:val="00B81B4C"/>
    <w:rsid w:val="00B837E5"/>
    <w:rsid w:val="00B83809"/>
    <w:rsid w:val="00B83B80"/>
    <w:rsid w:val="00B853CD"/>
    <w:rsid w:val="00B86AA2"/>
    <w:rsid w:val="00B86CCB"/>
    <w:rsid w:val="00B9003D"/>
    <w:rsid w:val="00B916A5"/>
    <w:rsid w:val="00B916A7"/>
    <w:rsid w:val="00B92FF9"/>
    <w:rsid w:val="00B93CB9"/>
    <w:rsid w:val="00B9419F"/>
    <w:rsid w:val="00B94597"/>
    <w:rsid w:val="00B95008"/>
    <w:rsid w:val="00B961F7"/>
    <w:rsid w:val="00B96506"/>
    <w:rsid w:val="00B96B6A"/>
    <w:rsid w:val="00B96FB5"/>
    <w:rsid w:val="00B97403"/>
    <w:rsid w:val="00B97985"/>
    <w:rsid w:val="00BA0416"/>
    <w:rsid w:val="00BA06AD"/>
    <w:rsid w:val="00BA0ACC"/>
    <w:rsid w:val="00BA1EB2"/>
    <w:rsid w:val="00BA2751"/>
    <w:rsid w:val="00BA2832"/>
    <w:rsid w:val="00BA2E6F"/>
    <w:rsid w:val="00BA300F"/>
    <w:rsid w:val="00BA33CC"/>
    <w:rsid w:val="00BA51A0"/>
    <w:rsid w:val="00BA535E"/>
    <w:rsid w:val="00BA54CB"/>
    <w:rsid w:val="00BA5E7F"/>
    <w:rsid w:val="00BA60DA"/>
    <w:rsid w:val="00BA6508"/>
    <w:rsid w:val="00BA6D3E"/>
    <w:rsid w:val="00BB090F"/>
    <w:rsid w:val="00BB1722"/>
    <w:rsid w:val="00BB27F4"/>
    <w:rsid w:val="00BB3199"/>
    <w:rsid w:val="00BB3F04"/>
    <w:rsid w:val="00BB4B23"/>
    <w:rsid w:val="00BB572F"/>
    <w:rsid w:val="00BB5E7D"/>
    <w:rsid w:val="00BB6528"/>
    <w:rsid w:val="00BC105C"/>
    <w:rsid w:val="00BC2B82"/>
    <w:rsid w:val="00BC31A9"/>
    <w:rsid w:val="00BC3482"/>
    <w:rsid w:val="00BC46A0"/>
    <w:rsid w:val="00BC653C"/>
    <w:rsid w:val="00BC6BAF"/>
    <w:rsid w:val="00BC71C9"/>
    <w:rsid w:val="00BC730B"/>
    <w:rsid w:val="00BC7A4C"/>
    <w:rsid w:val="00BD0887"/>
    <w:rsid w:val="00BD0E81"/>
    <w:rsid w:val="00BD146C"/>
    <w:rsid w:val="00BD24C3"/>
    <w:rsid w:val="00BD327E"/>
    <w:rsid w:val="00BD3A7C"/>
    <w:rsid w:val="00BD3F1C"/>
    <w:rsid w:val="00BD59A2"/>
    <w:rsid w:val="00BD6BCA"/>
    <w:rsid w:val="00BD6C69"/>
    <w:rsid w:val="00BD7169"/>
    <w:rsid w:val="00BD72D6"/>
    <w:rsid w:val="00BD78BA"/>
    <w:rsid w:val="00BE04CE"/>
    <w:rsid w:val="00BE0872"/>
    <w:rsid w:val="00BE0DAD"/>
    <w:rsid w:val="00BE1190"/>
    <w:rsid w:val="00BE130A"/>
    <w:rsid w:val="00BE211C"/>
    <w:rsid w:val="00BE28AA"/>
    <w:rsid w:val="00BE3CEF"/>
    <w:rsid w:val="00BE3E3F"/>
    <w:rsid w:val="00BE4DD3"/>
    <w:rsid w:val="00BE4F2F"/>
    <w:rsid w:val="00BE5273"/>
    <w:rsid w:val="00BE53E4"/>
    <w:rsid w:val="00BE6704"/>
    <w:rsid w:val="00BE6E74"/>
    <w:rsid w:val="00BE7B96"/>
    <w:rsid w:val="00BF0074"/>
    <w:rsid w:val="00BF2404"/>
    <w:rsid w:val="00BF2827"/>
    <w:rsid w:val="00BF28FC"/>
    <w:rsid w:val="00BF2F94"/>
    <w:rsid w:val="00BF3250"/>
    <w:rsid w:val="00BF3C40"/>
    <w:rsid w:val="00BF56E1"/>
    <w:rsid w:val="00BF5E29"/>
    <w:rsid w:val="00BF6C4C"/>
    <w:rsid w:val="00BF75E4"/>
    <w:rsid w:val="00C019C6"/>
    <w:rsid w:val="00C01A3C"/>
    <w:rsid w:val="00C02C21"/>
    <w:rsid w:val="00C0352B"/>
    <w:rsid w:val="00C03C21"/>
    <w:rsid w:val="00C04352"/>
    <w:rsid w:val="00C04742"/>
    <w:rsid w:val="00C04C35"/>
    <w:rsid w:val="00C05F43"/>
    <w:rsid w:val="00C06FF9"/>
    <w:rsid w:val="00C07660"/>
    <w:rsid w:val="00C107FB"/>
    <w:rsid w:val="00C10898"/>
    <w:rsid w:val="00C12973"/>
    <w:rsid w:val="00C13A4E"/>
    <w:rsid w:val="00C143D2"/>
    <w:rsid w:val="00C14529"/>
    <w:rsid w:val="00C15613"/>
    <w:rsid w:val="00C15C7C"/>
    <w:rsid w:val="00C15DAA"/>
    <w:rsid w:val="00C1646F"/>
    <w:rsid w:val="00C168E8"/>
    <w:rsid w:val="00C17AC4"/>
    <w:rsid w:val="00C200CD"/>
    <w:rsid w:val="00C20260"/>
    <w:rsid w:val="00C2062E"/>
    <w:rsid w:val="00C214CB"/>
    <w:rsid w:val="00C22618"/>
    <w:rsid w:val="00C2363B"/>
    <w:rsid w:val="00C23B48"/>
    <w:rsid w:val="00C24977"/>
    <w:rsid w:val="00C258FE"/>
    <w:rsid w:val="00C30123"/>
    <w:rsid w:val="00C302FD"/>
    <w:rsid w:val="00C30584"/>
    <w:rsid w:val="00C307D8"/>
    <w:rsid w:val="00C31DD9"/>
    <w:rsid w:val="00C322D3"/>
    <w:rsid w:val="00C3274F"/>
    <w:rsid w:val="00C329BD"/>
    <w:rsid w:val="00C32FEB"/>
    <w:rsid w:val="00C33B39"/>
    <w:rsid w:val="00C3435B"/>
    <w:rsid w:val="00C34DD8"/>
    <w:rsid w:val="00C35BF4"/>
    <w:rsid w:val="00C35C53"/>
    <w:rsid w:val="00C3751D"/>
    <w:rsid w:val="00C37569"/>
    <w:rsid w:val="00C378C2"/>
    <w:rsid w:val="00C415E2"/>
    <w:rsid w:val="00C4317D"/>
    <w:rsid w:val="00C436E2"/>
    <w:rsid w:val="00C44D20"/>
    <w:rsid w:val="00C44F65"/>
    <w:rsid w:val="00C4733B"/>
    <w:rsid w:val="00C477D9"/>
    <w:rsid w:val="00C47B7D"/>
    <w:rsid w:val="00C519FF"/>
    <w:rsid w:val="00C52037"/>
    <w:rsid w:val="00C52230"/>
    <w:rsid w:val="00C5264A"/>
    <w:rsid w:val="00C52829"/>
    <w:rsid w:val="00C52C11"/>
    <w:rsid w:val="00C53DB8"/>
    <w:rsid w:val="00C53E10"/>
    <w:rsid w:val="00C53F88"/>
    <w:rsid w:val="00C54519"/>
    <w:rsid w:val="00C550AE"/>
    <w:rsid w:val="00C5572C"/>
    <w:rsid w:val="00C55CE8"/>
    <w:rsid w:val="00C563C8"/>
    <w:rsid w:val="00C60C15"/>
    <w:rsid w:val="00C60E39"/>
    <w:rsid w:val="00C61E20"/>
    <w:rsid w:val="00C623CD"/>
    <w:rsid w:val="00C63336"/>
    <w:rsid w:val="00C635BE"/>
    <w:rsid w:val="00C63BE3"/>
    <w:rsid w:val="00C644F1"/>
    <w:rsid w:val="00C649F5"/>
    <w:rsid w:val="00C64D55"/>
    <w:rsid w:val="00C65241"/>
    <w:rsid w:val="00C66D8B"/>
    <w:rsid w:val="00C66EDA"/>
    <w:rsid w:val="00C670AC"/>
    <w:rsid w:val="00C673D6"/>
    <w:rsid w:val="00C67ABE"/>
    <w:rsid w:val="00C67E71"/>
    <w:rsid w:val="00C71C7D"/>
    <w:rsid w:val="00C720D7"/>
    <w:rsid w:val="00C725C7"/>
    <w:rsid w:val="00C72B0A"/>
    <w:rsid w:val="00C742CA"/>
    <w:rsid w:val="00C74BB3"/>
    <w:rsid w:val="00C77643"/>
    <w:rsid w:val="00C77BBD"/>
    <w:rsid w:val="00C80A2B"/>
    <w:rsid w:val="00C81285"/>
    <w:rsid w:val="00C8180F"/>
    <w:rsid w:val="00C82A8C"/>
    <w:rsid w:val="00C85978"/>
    <w:rsid w:val="00C90F3A"/>
    <w:rsid w:val="00C917EE"/>
    <w:rsid w:val="00C9227E"/>
    <w:rsid w:val="00C92483"/>
    <w:rsid w:val="00C925A0"/>
    <w:rsid w:val="00C9288A"/>
    <w:rsid w:val="00C928EE"/>
    <w:rsid w:val="00C934D1"/>
    <w:rsid w:val="00C935DF"/>
    <w:rsid w:val="00C93A08"/>
    <w:rsid w:val="00C9432A"/>
    <w:rsid w:val="00C94972"/>
    <w:rsid w:val="00C9517E"/>
    <w:rsid w:val="00C95673"/>
    <w:rsid w:val="00C9725E"/>
    <w:rsid w:val="00C97F32"/>
    <w:rsid w:val="00CA0A43"/>
    <w:rsid w:val="00CA22D9"/>
    <w:rsid w:val="00CA2ACE"/>
    <w:rsid w:val="00CA336C"/>
    <w:rsid w:val="00CA3D56"/>
    <w:rsid w:val="00CA507F"/>
    <w:rsid w:val="00CA6302"/>
    <w:rsid w:val="00CA7947"/>
    <w:rsid w:val="00CA7A0F"/>
    <w:rsid w:val="00CB0397"/>
    <w:rsid w:val="00CB0E23"/>
    <w:rsid w:val="00CB1C04"/>
    <w:rsid w:val="00CB1D2D"/>
    <w:rsid w:val="00CB244C"/>
    <w:rsid w:val="00CB270C"/>
    <w:rsid w:val="00CB2AD4"/>
    <w:rsid w:val="00CB4810"/>
    <w:rsid w:val="00CB602C"/>
    <w:rsid w:val="00CB60E3"/>
    <w:rsid w:val="00CB68A1"/>
    <w:rsid w:val="00CB6B40"/>
    <w:rsid w:val="00CB7123"/>
    <w:rsid w:val="00CB746C"/>
    <w:rsid w:val="00CB7AAE"/>
    <w:rsid w:val="00CC0EB4"/>
    <w:rsid w:val="00CC1503"/>
    <w:rsid w:val="00CC1C4B"/>
    <w:rsid w:val="00CC1F26"/>
    <w:rsid w:val="00CC276C"/>
    <w:rsid w:val="00CC29CD"/>
    <w:rsid w:val="00CC335E"/>
    <w:rsid w:val="00CC3A93"/>
    <w:rsid w:val="00CC5A3D"/>
    <w:rsid w:val="00CC74B0"/>
    <w:rsid w:val="00CC7CA2"/>
    <w:rsid w:val="00CD017B"/>
    <w:rsid w:val="00CD0930"/>
    <w:rsid w:val="00CD2118"/>
    <w:rsid w:val="00CD2B62"/>
    <w:rsid w:val="00CD2D37"/>
    <w:rsid w:val="00CD3882"/>
    <w:rsid w:val="00CD52A7"/>
    <w:rsid w:val="00CD5489"/>
    <w:rsid w:val="00CD5ED5"/>
    <w:rsid w:val="00CD74D3"/>
    <w:rsid w:val="00CD76CE"/>
    <w:rsid w:val="00CD7EFD"/>
    <w:rsid w:val="00CE0020"/>
    <w:rsid w:val="00CE0488"/>
    <w:rsid w:val="00CE1FFE"/>
    <w:rsid w:val="00CE3490"/>
    <w:rsid w:val="00CE3966"/>
    <w:rsid w:val="00CE4531"/>
    <w:rsid w:val="00CE54E2"/>
    <w:rsid w:val="00CE56F5"/>
    <w:rsid w:val="00CE6213"/>
    <w:rsid w:val="00CE6D0B"/>
    <w:rsid w:val="00CE6F57"/>
    <w:rsid w:val="00CE707E"/>
    <w:rsid w:val="00CE7573"/>
    <w:rsid w:val="00CE780A"/>
    <w:rsid w:val="00CF0E26"/>
    <w:rsid w:val="00CF18C5"/>
    <w:rsid w:val="00CF1B26"/>
    <w:rsid w:val="00CF39E0"/>
    <w:rsid w:val="00CF3E40"/>
    <w:rsid w:val="00CF43F8"/>
    <w:rsid w:val="00CF487C"/>
    <w:rsid w:val="00CF4D40"/>
    <w:rsid w:val="00CF51E8"/>
    <w:rsid w:val="00CF5831"/>
    <w:rsid w:val="00CF7027"/>
    <w:rsid w:val="00CF779C"/>
    <w:rsid w:val="00D01AB8"/>
    <w:rsid w:val="00D01E3C"/>
    <w:rsid w:val="00D02246"/>
    <w:rsid w:val="00D024DF"/>
    <w:rsid w:val="00D030C1"/>
    <w:rsid w:val="00D04FC2"/>
    <w:rsid w:val="00D054BD"/>
    <w:rsid w:val="00D10153"/>
    <w:rsid w:val="00D1050A"/>
    <w:rsid w:val="00D10A16"/>
    <w:rsid w:val="00D11A69"/>
    <w:rsid w:val="00D12D38"/>
    <w:rsid w:val="00D138BD"/>
    <w:rsid w:val="00D14421"/>
    <w:rsid w:val="00D14541"/>
    <w:rsid w:val="00D160DA"/>
    <w:rsid w:val="00D16CF2"/>
    <w:rsid w:val="00D17A33"/>
    <w:rsid w:val="00D20919"/>
    <w:rsid w:val="00D209CA"/>
    <w:rsid w:val="00D20A4C"/>
    <w:rsid w:val="00D20EE8"/>
    <w:rsid w:val="00D20EFC"/>
    <w:rsid w:val="00D219B6"/>
    <w:rsid w:val="00D21CDB"/>
    <w:rsid w:val="00D21DC7"/>
    <w:rsid w:val="00D22118"/>
    <w:rsid w:val="00D249C0"/>
    <w:rsid w:val="00D25594"/>
    <w:rsid w:val="00D268F1"/>
    <w:rsid w:val="00D31036"/>
    <w:rsid w:val="00D323EA"/>
    <w:rsid w:val="00D32929"/>
    <w:rsid w:val="00D33B6F"/>
    <w:rsid w:val="00D33BB7"/>
    <w:rsid w:val="00D34956"/>
    <w:rsid w:val="00D34C33"/>
    <w:rsid w:val="00D35E76"/>
    <w:rsid w:val="00D3634B"/>
    <w:rsid w:val="00D36953"/>
    <w:rsid w:val="00D44CCA"/>
    <w:rsid w:val="00D45DE9"/>
    <w:rsid w:val="00D46144"/>
    <w:rsid w:val="00D463CF"/>
    <w:rsid w:val="00D46B26"/>
    <w:rsid w:val="00D46B8B"/>
    <w:rsid w:val="00D47653"/>
    <w:rsid w:val="00D51750"/>
    <w:rsid w:val="00D51A33"/>
    <w:rsid w:val="00D52812"/>
    <w:rsid w:val="00D53967"/>
    <w:rsid w:val="00D539DE"/>
    <w:rsid w:val="00D55550"/>
    <w:rsid w:val="00D568D5"/>
    <w:rsid w:val="00D56D1D"/>
    <w:rsid w:val="00D613B9"/>
    <w:rsid w:val="00D61EBD"/>
    <w:rsid w:val="00D638F3"/>
    <w:rsid w:val="00D6398A"/>
    <w:rsid w:val="00D6469E"/>
    <w:rsid w:val="00D650A8"/>
    <w:rsid w:val="00D65D99"/>
    <w:rsid w:val="00D65FC5"/>
    <w:rsid w:val="00D667F1"/>
    <w:rsid w:val="00D6713B"/>
    <w:rsid w:val="00D70331"/>
    <w:rsid w:val="00D7033E"/>
    <w:rsid w:val="00D73D96"/>
    <w:rsid w:val="00D73E6A"/>
    <w:rsid w:val="00D74D16"/>
    <w:rsid w:val="00D7535B"/>
    <w:rsid w:val="00D753F7"/>
    <w:rsid w:val="00D7555F"/>
    <w:rsid w:val="00D7557E"/>
    <w:rsid w:val="00D75FDA"/>
    <w:rsid w:val="00D76338"/>
    <w:rsid w:val="00D7695C"/>
    <w:rsid w:val="00D76CD3"/>
    <w:rsid w:val="00D76F18"/>
    <w:rsid w:val="00D77637"/>
    <w:rsid w:val="00D779CB"/>
    <w:rsid w:val="00D8092A"/>
    <w:rsid w:val="00D81974"/>
    <w:rsid w:val="00D81FD7"/>
    <w:rsid w:val="00D82117"/>
    <w:rsid w:val="00D82984"/>
    <w:rsid w:val="00D83F71"/>
    <w:rsid w:val="00D856B5"/>
    <w:rsid w:val="00D85F15"/>
    <w:rsid w:val="00D863E4"/>
    <w:rsid w:val="00D87BC3"/>
    <w:rsid w:val="00D9039D"/>
    <w:rsid w:val="00D90ED6"/>
    <w:rsid w:val="00D90FBB"/>
    <w:rsid w:val="00D92EDA"/>
    <w:rsid w:val="00D93DFC"/>
    <w:rsid w:val="00D94ED4"/>
    <w:rsid w:val="00D94EDD"/>
    <w:rsid w:val="00D951D5"/>
    <w:rsid w:val="00D955E9"/>
    <w:rsid w:val="00D9638A"/>
    <w:rsid w:val="00D96BCC"/>
    <w:rsid w:val="00D96DFB"/>
    <w:rsid w:val="00D96FCB"/>
    <w:rsid w:val="00D97BFC"/>
    <w:rsid w:val="00DA0019"/>
    <w:rsid w:val="00DA06BF"/>
    <w:rsid w:val="00DA18CF"/>
    <w:rsid w:val="00DA2269"/>
    <w:rsid w:val="00DA3B73"/>
    <w:rsid w:val="00DA3F86"/>
    <w:rsid w:val="00DA405C"/>
    <w:rsid w:val="00DA4B0B"/>
    <w:rsid w:val="00DA63BB"/>
    <w:rsid w:val="00DA6D9E"/>
    <w:rsid w:val="00DA7C36"/>
    <w:rsid w:val="00DA7E72"/>
    <w:rsid w:val="00DB0DF4"/>
    <w:rsid w:val="00DB17B2"/>
    <w:rsid w:val="00DB19CB"/>
    <w:rsid w:val="00DB1A6E"/>
    <w:rsid w:val="00DB1D2D"/>
    <w:rsid w:val="00DB2AE5"/>
    <w:rsid w:val="00DB4127"/>
    <w:rsid w:val="00DB43E6"/>
    <w:rsid w:val="00DB54C3"/>
    <w:rsid w:val="00DC06A6"/>
    <w:rsid w:val="00DC2940"/>
    <w:rsid w:val="00DC4AEC"/>
    <w:rsid w:val="00DC4DEA"/>
    <w:rsid w:val="00DC6724"/>
    <w:rsid w:val="00DC75FE"/>
    <w:rsid w:val="00DC7FF9"/>
    <w:rsid w:val="00DD011C"/>
    <w:rsid w:val="00DD207F"/>
    <w:rsid w:val="00DD2B58"/>
    <w:rsid w:val="00DD357A"/>
    <w:rsid w:val="00DD424C"/>
    <w:rsid w:val="00DD563A"/>
    <w:rsid w:val="00DD5C5A"/>
    <w:rsid w:val="00DD5FF1"/>
    <w:rsid w:val="00DD6359"/>
    <w:rsid w:val="00DD7578"/>
    <w:rsid w:val="00DD7A21"/>
    <w:rsid w:val="00DE1127"/>
    <w:rsid w:val="00DE1FDE"/>
    <w:rsid w:val="00DE3779"/>
    <w:rsid w:val="00DE3D97"/>
    <w:rsid w:val="00DE5BE5"/>
    <w:rsid w:val="00DE65E8"/>
    <w:rsid w:val="00DE6CB6"/>
    <w:rsid w:val="00DF0EAF"/>
    <w:rsid w:val="00DF209C"/>
    <w:rsid w:val="00DF25D2"/>
    <w:rsid w:val="00DF2EED"/>
    <w:rsid w:val="00DF3973"/>
    <w:rsid w:val="00DF3BC1"/>
    <w:rsid w:val="00DF3D77"/>
    <w:rsid w:val="00DF504E"/>
    <w:rsid w:val="00DF5132"/>
    <w:rsid w:val="00DF5E7A"/>
    <w:rsid w:val="00DF62E9"/>
    <w:rsid w:val="00DF69A6"/>
    <w:rsid w:val="00E0046D"/>
    <w:rsid w:val="00E0517D"/>
    <w:rsid w:val="00E07DC7"/>
    <w:rsid w:val="00E07ECC"/>
    <w:rsid w:val="00E10D01"/>
    <w:rsid w:val="00E115C3"/>
    <w:rsid w:val="00E138DD"/>
    <w:rsid w:val="00E140E6"/>
    <w:rsid w:val="00E16058"/>
    <w:rsid w:val="00E161EB"/>
    <w:rsid w:val="00E17011"/>
    <w:rsid w:val="00E174FC"/>
    <w:rsid w:val="00E204AE"/>
    <w:rsid w:val="00E20AA9"/>
    <w:rsid w:val="00E22391"/>
    <w:rsid w:val="00E22847"/>
    <w:rsid w:val="00E24035"/>
    <w:rsid w:val="00E24573"/>
    <w:rsid w:val="00E24C19"/>
    <w:rsid w:val="00E25589"/>
    <w:rsid w:val="00E268AC"/>
    <w:rsid w:val="00E27A93"/>
    <w:rsid w:val="00E27DC9"/>
    <w:rsid w:val="00E3055E"/>
    <w:rsid w:val="00E30EE6"/>
    <w:rsid w:val="00E31157"/>
    <w:rsid w:val="00E3183D"/>
    <w:rsid w:val="00E31F19"/>
    <w:rsid w:val="00E32DE9"/>
    <w:rsid w:val="00E355B5"/>
    <w:rsid w:val="00E35744"/>
    <w:rsid w:val="00E35B1B"/>
    <w:rsid w:val="00E36A17"/>
    <w:rsid w:val="00E3752E"/>
    <w:rsid w:val="00E37531"/>
    <w:rsid w:val="00E3799C"/>
    <w:rsid w:val="00E404EF"/>
    <w:rsid w:val="00E40E19"/>
    <w:rsid w:val="00E41008"/>
    <w:rsid w:val="00E41100"/>
    <w:rsid w:val="00E41B27"/>
    <w:rsid w:val="00E41B65"/>
    <w:rsid w:val="00E42549"/>
    <w:rsid w:val="00E42FA7"/>
    <w:rsid w:val="00E434D5"/>
    <w:rsid w:val="00E442F3"/>
    <w:rsid w:val="00E4497D"/>
    <w:rsid w:val="00E45882"/>
    <w:rsid w:val="00E4626D"/>
    <w:rsid w:val="00E465D1"/>
    <w:rsid w:val="00E465D3"/>
    <w:rsid w:val="00E46865"/>
    <w:rsid w:val="00E46C8D"/>
    <w:rsid w:val="00E46F66"/>
    <w:rsid w:val="00E47619"/>
    <w:rsid w:val="00E47865"/>
    <w:rsid w:val="00E47C56"/>
    <w:rsid w:val="00E5067B"/>
    <w:rsid w:val="00E51581"/>
    <w:rsid w:val="00E5176C"/>
    <w:rsid w:val="00E522DF"/>
    <w:rsid w:val="00E52C79"/>
    <w:rsid w:val="00E52DB8"/>
    <w:rsid w:val="00E53252"/>
    <w:rsid w:val="00E55356"/>
    <w:rsid w:val="00E563AF"/>
    <w:rsid w:val="00E56FCD"/>
    <w:rsid w:val="00E57B7B"/>
    <w:rsid w:val="00E60B20"/>
    <w:rsid w:val="00E619AB"/>
    <w:rsid w:val="00E61F28"/>
    <w:rsid w:val="00E62041"/>
    <w:rsid w:val="00E63058"/>
    <w:rsid w:val="00E64079"/>
    <w:rsid w:val="00E64BA2"/>
    <w:rsid w:val="00E65314"/>
    <w:rsid w:val="00E663B3"/>
    <w:rsid w:val="00E6640D"/>
    <w:rsid w:val="00E66CF8"/>
    <w:rsid w:val="00E72794"/>
    <w:rsid w:val="00E729D4"/>
    <w:rsid w:val="00E72D1C"/>
    <w:rsid w:val="00E73889"/>
    <w:rsid w:val="00E74609"/>
    <w:rsid w:val="00E74785"/>
    <w:rsid w:val="00E74C8E"/>
    <w:rsid w:val="00E75735"/>
    <w:rsid w:val="00E75C3C"/>
    <w:rsid w:val="00E764DE"/>
    <w:rsid w:val="00E768A6"/>
    <w:rsid w:val="00E773C2"/>
    <w:rsid w:val="00E7761A"/>
    <w:rsid w:val="00E80FD5"/>
    <w:rsid w:val="00E82B5E"/>
    <w:rsid w:val="00E8359E"/>
    <w:rsid w:val="00E842E9"/>
    <w:rsid w:val="00E85DCB"/>
    <w:rsid w:val="00E8642B"/>
    <w:rsid w:val="00E86D03"/>
    <w:rsid w:val="00E902B7"/>
    <w:rsid w:val="00E90D78"/>
    <w:rsid w:val="00E91142"/>
    <w:rsid w:val="00E91332"/>
    <w:rsid w:val="00E9161E"/>
    <w:rsid w:val="00E918A0"/>
    <w:rsid w:val="00E931A6"/>
    <w:rsid w:val="00E944AE"/>
    <w:rsid w:val="00E946CA"/>
    <w:rsid w:val="00E94C3D"/>
    <w:rsid w:val="00E94CF2"/>
    <w:rsid w:val="00E95846"/>
    <w:rsid w:val="00E95E97"/>
    <w:rsid w:val="00E96911"/>
    <w:rsid w:val="00E973FA"/>
    <w:rsid w:val="00EA01A0"/>
    <w:rsid w:val="00EA25BE"/>
    <w:rsid w:val="00EA3C47"/>
    <w:rsid w:val="00EA4454"/>
    <w:rsid w:val="00EA4859"/>
    <w:rsid w:val="00EA4F0F"/>
    <w:rsid w:val="00EA619C"/>
    <w:rsid w:val="00EA71B8"/>
    <w:rsid w:val="00EB01DA"/>
    <w:rsid w:val="00EB14CF"/>
    <w:rsid w:val="00EB1DE3"/>
    <w:rsid w:val="00EB2DE7"/>
    <w:rsid w:val="00EB3538"/>
    <w:rsid w:val="00EB4ACA"/>
    <w:rsid w:val="00EB50BB"/>
    <w:rsid w:val="00EB5514"/>
    <w:rsid w:val="00EB5AEE"/>
    <w:rsid w:val="00EB6109"/>
    <w:rsid w:val="00EB62E7"/>
    <w:rsid w:val="00EB69F3"/>
    <w:rsid w:val="00EC0698"/>
    <w:rsid w:val="00EC1CD1"/>
    <w:rsid w:val="00EC21CE"/>
    <w:rsid w:val="00EC2352"/>
    <w:rsid w:val="00EC27FB"/>
    <w:rsid w:val="00EC2B45"/>
    <w:rsid w:val="00EC2D7B"/>
    <w:rsid w:val="00EC3137"/>
    <w:rsid w:val="00EC3356"/>
    <w:rsid w:val="00EC3E80"/>
    <w:rsid w:val="00EC56B6"/>
    <w:rsid w:val="00EC5D59"/>
    <w:rsid w:val="00EC5F1C"/>
    <w:rsid w:val="00EC6741"/>
    <w:rsid w:val="00ED0B71"/>
    <w:rsid w:val="00ED1BF2"/>
    <w:rsid w:val="00ED1EFD"/>
    <w:rsid w:val="00ED23A7"/>
    <w:rsid w:val="00ED3294"/>
    <w:rsid w:val="00ED3CBC"/>
    <w:rsid w:val="00ED403A"/>
    <w:rsid w:val="00ED4EEC"/>
    <w:rsid w:val="00EE0084"/>
    <w:rsid w:val="00EE0EB9"/>
    <w:rsid w:val="00EE1767"/>
    <w:rsid w:val="00EE1CD0"/>
    <w:rsid w:val="00EE2A33"/>
    <w:rsid w:val="00EE3905"/>
    <w:rsid w:val="00EE3A1E"/>
    <w:rsid w:val="00EE3C9A"/>
    <w:rsid w:val="00EE54CA"/>
    <w:rsid w:val="00EE7231"/>
    <w:rsid w:val="00EE7C5B"/>
    <w:rsid w:val="00EF00E2"/>
    <w:rsid w:val="00EF053D"/>
    <w:rsid w:val="00EF1FAE"/>
    <w:rsid w:val="00EF1FBD"/>
    <w:rsid w:val="00EF2BEA"/>
    <w:rsid w:val="00EF3E66"/>
    <w:rsid w:val="00EF4658"/>
    <w:rsid w:val="00EF5439"/>
    <w:rsid w:val="00EF54D7"/>
    <w:rsid w:val="00EF5B1D"/>
    <w:rsid w:val="00EF60F0"/>
    <w:rsid w:val="00EF66DB"/>
    <w:rsid w:val="00EF67F7"/>
    <w:rsid w:val="00EF689C"/>
    <w:rsid w:val="00EF6DAB"/>
    <w:rsid w:val="00EF7506"/>
    <w:rsid w:val="00F00BD7"/>
    <w:rsid w:val="00F011E2"/>
    <w:rsid w:val="00F020CC"/>
    <w:rsid w:val="00F0278A"/>
    <w:rsid w:val="00F03664"/>
    <w:rsid w:val="00F04997"/>
    <w:rsid w:val="00F04B97"/>
    <w:rsid w:val="00F05B66"/>
    <w:rsid w:val="00F06321"/>
    <w:rsid w:val="00F06D33"/>
    <w:rsid w:val="00F0765C"/>
    <w:rsid w:val="00F10BA6"/>
    <w:rsid w:val="00F10FD1"/>
    <w:rsid w:val="00F146F9"/>
    <w:rsid w:val="00F15FED"/>
    <w:rsid w:val="00F17547"/>
    <w:rsid w:val="00F1798B"/>
    <w:rsid w:val="00F179E5"/>
    <w:rsid w:val="00F20046"/>
    <w:rsid w:val="00F20554"/>
    <w:rsid w:val="00F2109E"/>
    <w:rsid w:val="00F219D0"/>
    <w:rsid w:val="00F22D03"/>
    <w:rsid w:val="00F23792"/>
    <w:rsid w:val="00F2430A"/>
    <w:rsid w:val="00F24624"/>
    <w:rsid w:val="00F2509B"/>
    <w:rsid w:val="00F256B7"/>
    <w:rsid w:val="00F26378"/>
    <w:rsid w:val="00F26759"/>
    <w:rsid w:val="00F30A86"/>
    <w:rsid w:val="00F30CE6"/>
    <w:rsid w:val="00F323EA"/>
    <w:rsid w:val="00F32764"/>
    <w:rsid w:val="00F33335"/>
    <w:rsid w:val="00F341E4"/>
    <w:rsid w:val="00F35773"/>
    <w:rsid w:val="00F36678"/>
    <w:rsid w:val="00F40EF7"/>
    <w:rsid w:val="00F42283"/>
    <w:rsid w:val="00F42DE4"/>
    <w:rsid w:val="00F43DAD"/>
    <w:rsid w:val="00F44BE4"/>
    <w:rsid w:val="00F45261"/>
    <w:rsid w:val="00F4558E"/>
    <w:rsid w:val="00F458DF"/>
    <w:rsid w:val="00F462E0"/>
    <w:rsid w:val="00F46DB7"/>
    <w:rsid w:val="00F472F1"/>
    <w:rsid w:val="00F4777C"/>
    <w:rsid w:val="00F5138C"/>
    <w:rsid w:val="00F51E4D"/>
    <w:rsid w:val="00F52A10"/>
    <w:rsid w:val="00F5560F"/>
    <w:rsid w:val="00F56DDC"/>
    <w:rsid w:val="00F60F64"/>
    <w:rsid w:val="00F61F19"/>
    <w:rsid w:val="00F62A9B"/>
    <w:rsid w:val="00F63643"/>
    <w:rsid w:val="00F64737"/>
    <w:rsid w:val="00F64A41"/>
    <w:rsid w:val="00F64B13"/>
    <w:rsid w:val="00F65530"/>
    <w:rsid w:val="00F66B96"/>
    <w:rsid w:val="00F6700F"/>
    <w:rsid w:val="00F67DD8"/>
    <w:rsid w:val="00F71A10"/>
    <w:rsid w:val="00F73511"/>
    <w:rsid w:val="00F73B45"/>
    <w:rsid w:val="00F73C3F"/>
    <w:rsid w:val="00F73E54"/>
    <w:rsid w:val="00F7442B"/>
    <w:rsid w:val="00F749C1"/>
    <w:rsid w:val="00F76619"/>
    <w:rsid w:val="00F76B26"/>
    <w:rsid w:val="00F77059"/>
    <w:rsid w:val="00F802A2"/>
    <w:rsid w:val="00F816BC"/>
    <w:rsid w:val="00F82B92"/>
    <w:rsid w:val="00F8343B"/>
    <w:rsid w:val="00F83462"/>
    <w:rsid w:val="00F83C4B"/>
    <w:rsid w:val="00F85473"/>
    <w:rsid w:val="00F85B9C"/>
    <w:rsid w:val="00F8624A"/>
    <w:rsid w:val="00F868C7"/>
    <w:rsid w:val="00F86F0F"/>
    <w:rsid w:val="00F900E2"/>
    <w:rsid w:val="00F91C95"/>
    <w:rsid w:val="00F92B11"/>
    <w:rsid w:val="00F935A6"/>
    <w:rsid w:val="00F94418"/>
    <w:rsid w:val="00F9453E"/>
    <w:rsid w:val="00F96F81"/>
    <w:rsid w:val="00FA02EB"/>
    <w:rsid w:val="00FA1AFE"/>
    <w:rsid w:val="00FA21E8"/>
    <w:rsid w:val="00FA27A7"/>
    <w:rsid w:val="00FA2956"/>
    <w:rsid w:val="00FA2DB4"/>
    <w:rsid w:val="00FA328F"/>
    <w:rsid w:val="00FA3932"/>
    <w:rsid w:val="00FA46FF"/>
    <w:rsid w:val="00FA4EBE"/>
    <w:rsid w:val="00FA5309"/>
    <w:rsid w:val="00FA628D"/>
    <w:rsid w:val="00FA66EA"/>
    <w:rsid w:val="00FA6FE1"/>
    <w:rsid w:val="00FA7DC7"/>
    <w:rsid w:val="00FB0236"/>
    <w:rsid w:val="00FB2355"/>
    <w:rsid w:val="00FB3184"/>
    <w:rsid w:val="00FB4B5C"/>
    <w:rsid w:val="00FB5090"/>
    <w:rsid w:val="00FB5262"/>
    <w:rsid w:val="00FB57CF"/>
    <w:rsid w:val="00FB59E2"/>
    <w:rsid w:val="00FB745F"/>
    <w:rsid w:val="00FB7C8D"/>
    <w:rsid w:val="00FB7F4E"/>
    <w:rsid w:val="00FC11E3"/>
    <w:rsid w:val="00FC24F7"/>
    <w:rsid w:val="00FC27E8"/>
    <w:rsid w:val="00FC4136"/>
    <w:rsid w:val="00FC4CC1"/>
    <w:rsid w:val="00FC5458"/>
    <w:rsid w:val="00FC558E"/>
    <w:rsid w:val="00FC5899"/>
    <w:rsid w:val="00FC75EB"/>
    <w:rsid w:val="00FC78AC"/>
    <w:rsid w:val="00FC7AD2"/>
    <w:rsid w:val="00FD0147"/>
    <w:rsid w:val="00FD1D1D"/>
    <w:rsid w:val="00FD2BAA"/>
    <w:rsid w:val="00FD2C48"/>
    <w:rsid w:val="00FD2D00"/>
    <w:rsid w:val="00FD2D42"/>
    <w:rsid w:val="00FD3872"/>
    <w:rsid w:val="00FD3F40"/>
    <w:rsid w:val="00FD44B3"/>
    <w:rsid w:val="00FD474A"/>
    <w:rsid w:val="00FD4D59"/>
    <w:rsid w:val="00FD55A7"/>
    <w:rsid w:val="00FD5836"/>
    <w:rsid w:val="00FD5B0D"/>
    <w:rsid w:val="00FD5D56"/>
    <w:rsid w:val="00FD6628"/>
    <w:rsid w:val="00FE0A8E"/>
    <w:rsid w:val="00FE0B3F"/>
    <w:rsid w:val="00FE1316"/>
    <w:rsid w:val="00FE13F7"/>
    <w:rsid w:val="00FE1A34"/>
    <w:rsid w:val="00FE25C1"/>
    <w:rsid w:val="00FE281C"/>
    <w:rsid w:val="00FE30F5"/>
    <w:rsid w:val="00FE388B"/>
    <w:rsid w:val="00FE388E"/>
    <w:rsid w:val="00FE3F8F"/>
    <w:rsid w:val="00FE492C"/>
    <w:rsid w:val="00FE53F9"/>
    <w:rsid w:val="00FE6519"/>
    <w:rsid w:val="00FE77C0"/>
    <w:rsid w:val="00FE79BF"/>
    <w:rsid w:val="00FF04D7"/>
    <w:rsid w:val="00FF0EF1"/>
    <w:rsid w:val="00FF1B70"/>
    <w:rsid w:val="00FF2B93"/>
    <w:rsid w:val="00FF35E6"/>
    <w:rsid w:val="00FF631C"/>
    <w:rsid w:val="00FF75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830B6D"/>
  <w15:docId w15:val="{020DA5E5-E694-45B8-8860-38D000B0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2037"/>
    <w:pPr>
      <w:spacing w:after="120"/>
      <w:jc w:val="both"/>
    </w:pPr>
    <w:rPr>
      <w:rFonts w:ascii="Arial" w:eastAsia="Times New Roman" w:hAnsi="Arial"/>
      <w:szCs w:val="22"/>
      <w:lang w:eastAsia="en-US"/>
    </w:rPr>
  </w:style>
  <w:style w:type="paragraph" w:styleId="Titolo7">
    <w:name w:val="heading 7"/>
    <w:basedOn w:val="Normale"/>
    <w:next w:val="Normale"/>
    <w:link w:val="Titolo7Carattere"/>
    <w:qFormat/>
    <w:rsid w:val="00C52037"/>
    <w:pPr>
      <w:keepNext/>
      <w:widowControl w:val="0"/>
      <w:tabs>
        <w:tab w:val="left" w:pos="-774"/>
        <w:tab w:val="left" w:pos="-567"/>
        <w:tab w:val="left" w:pos="-1"/>
        <w:tab w:val="left" w:pos="565"/>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80" w:after="0"/>
      <w:ind w:left="-57" w:right="-57"/>
      <w:jc w:val="center"/>
      <w:outlineLvl w:val="6"/>
    </w:pPr>
    <w:rPr>
      <w:rFonts w:ascii="Arial Narrow" w:hAnsi="Arial Narrow"/>
      <w:b/>
      <w:szCs w:val="20"/>
      <w:u w:val="single"/>
      <w:lang w:val="de-DE"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uiPriority w:val="99"/>
    <w:semiHidden/>
    <w:rsid w:val="00C52037"/>
    <w:rPr>
      <w:rFonts w:cs="Times New Roman"/>
      <w:vertAlign w:val="superscript"/>
    </w:rPr>
  </w:style>
  <w:style w:type="paragraph" w:customStyle="1" w:styleId="Default">
    <w:name w:val="Default"/>
    <w:rsid w:val="00C52037"/>
    <w:pPr>
      <w:autoSpaceDE w:val="0"/>
      <w:autoSpaceDN w:val="0"/>
      <w:adjustRightInd w:val="0"/>
    </w:pPr>
    <w:rPr>
      <w:rFonts w:ascii="Arial" w:eastAsia="Times New Roman" w:hAnsi="Arial" w:cs="Arial"/>
      <w:color w:val="000000"/>
      <w:sz w:val="24"/>
      <w:szCs w:val="24"/>
      <w:lang w:eastAsia="en-US"/>
    </w:rPr>
  </w:style>
  <w:style w:type="paragraph" w:customStyle="1" w:styleId="NOTA">
    <w:name w:val="NOTA"/>
    <w:basedOn w:val="Testonormale"/>
    <w:link w:val="NOTACarattere"/>
    <w:qFormat/>
    <w:rsid w:val="00C52037"/>
    <w:pPr>
      <w:spacing w:after="60"/>
      <w:jc w:val="left"/>
    </w:pPr>
    <w:rPr>
      <w:rFonts w:ascii="Arial" w:hAnsi="Arial" w:cs="Arial"/>
      <w:sz w:val="16"/>
      <w:szCs w:val="16"/>
    </w:rPr>
  </w:style>
  <w:style w:type="character" w:customStyle="1" w:styleId="NOTACarattere">
    <w:name w:val="NOTA Carattere"/>
    <w:link w:val="NOTA"/>
    <w:locked/>
    <w:rsid w:val="00C52037"/>
    <w:rPr>
      <w:rFonts w:ascii="Arial" w:hAnsi="Arial" w:cs="Arial"/>
      <w:sz w:val="16"/>
      <w:szCs w:val="16"/>
    </w:rPr>
  </w:style>
  <w:style w:type="paragraph" w:styleId="Testonormale">
    <w:name w:val="Plain Text"/>
    <w:basedOn w:val="Normale"/>
    <w:link w:val="TestonormaleCarattere"/>
    <w:semiHidden/>
    <w:rsid w:val="00C52037"/>
    <w:pPr>
      <w:spacing w:after="0"/>
    </w:pPr>
    <w:rPr>
      <w:rFonts w:ascii="Consolas" w:hAnsi="Consolas" w:cs="Consolas"/>
      <w:sz w:val="21"/>
      <w:szCs w:val="21"/>
    </w:rPr>
  </w:style>
  <w:style w:type="character" w:customStyle="1" w:styleId="TestonormaleCarattere">
    <w:name w:val="Testo normale Carattere"/>
    <w:link w:val="Testonormale"/>
    <w:semiHidden/>
    <w:locked/>
    <w:rsid w:val="00C52037"/>
    <w:rPr>
      <w:rFonts w:ascii="Consolas" w:hAnsi="Consolas" w:cs="Consolas"/>
      <w:sz w:val="21"/>
      <w:szCs w:val="21"/>
    </w:rPr>
  </w:style>
  <w:style w:type="character" w:customStyle="1" w:styleId="Titolo7Carattere">
    <w:name w:val="Titolo 7 Carattere"/>
    <w:link w:val="Titolo7"/>
    <w:locked/>
    <w:rsid w:val="00C52037"/>
    <w:rPr>
      <w:rFonts w:ascii="Arial Narrow" w:eastAsia="Times New Roman" w:hAnsi="Arial Narrow" w:cs="Times New Roman"/>
      <w:b/>
      <w:sz w:val="20"/>
      <w:szCs w:val="20"/>
      <w:u w:val="single"/>
      <w:lang w:val="de-DE" w:eastAsia="it-IT"/>
    </w:rPr>
  </w:style>
  <w:style w:type="paragraph" w:customStyle="1" w:styleId="Paragrafoelenco1">
    <w:name w:val="Paragrafo elenco1"/>
    <w:basedOn w:val="Normale"/>
    <w:rsid w:val="00C52037"/>
    <w:pPr>
      <w:ind w:left="720"/>
      <w:contextualSpacing/>
    </w:pPr>
  </w:style>
  <w:style w:type="paragraph" w:customStyle="1" w:styleId="Paragrafoelenco10">
    <w:name w:val="Paragrafo elenco1"/>
    <w:basedOn w:val="Normale"/>
    <w:rsid w:val="00C52037"/>
    <w:pPr>
      <w:spacing w:after="0"/>
      <w:ind w:left="720"/>
      <w:contextualSpacing/>
    </w:pPr>
    <w:rPr>
      <w:rFonts w:ascii="Times New Roman" w:eastAsia="Calibri" w:hAnsi="Times New Roman"/>
      <w:sz w:val="24"/>
      <w:szCs w:val="24"/>
      <w:lang w:eastAsia="it-IT"/>
    </w:rPr>
  </w:style>
  <w:style w:type="paragraph" w:styleId="Testonotaapidipagina">
    <w:name w:val="footnote text"/>
    <w:basedOn w:val="Normale"/>
    <w:link w:val="TestonotaapidipaginaCarattere"/>
    <w:uiPriority w:val="99"/>
    <w:rsid w:val="00C52037"/>
    <w:pPr>
      <w:spacing w:after="0"/>
    </w:pPr>
    <w:rPr>
      <w:sz w:val="16"/>
      <w:szCs w:val="20"/>
    </w:rPr>
  </w:style>
  <w:style w:type="character" w:customStyle="1" w:styleId="TestonotaapidipaginaCarattere">
    <w:name w:val="Testo nota a piè di pagina Carattere"/>
    <w:link w:val="Testonotaapidipagina"/>
    <w:uiPriority w:val="99"/>
    <w:locked/>
    <w:rsid w:val="00C52037"/>
    <w:rPr>
      <w:rFonts w:ascii="Arial" w:eastAsia="Times New Roman" w:hAnsi="Arial" w:cs="Times New Roman"/>
      <w:sz w:val="20"/>
      <w:szCs w:val="20"/>
    </w:rPr>
  </w:style>
  <w:style w:type="character" w:styleId="Enfasigrassetto">
    <w:name w:val="Strong"/>
    <w:qFormat/>
    <w:rsid w:val="00C52037"/>
    <w:rPr>
      <w:rFonts w:cs="Times New Roman"/>
      <w:b/>
      <w:bCs/>
    </w:rPr>
  </w:style>
  <w:style w:type="character" w:styleId="Collegamentoipertestuale">
    <w:name w:val="Hyperlink"/>
    <w:rsid w:val="00C52037"/>
    <w:rPr>
      <w:rFonts w:cs="Times New Roman"/>
      <w:color w:val="0000FF"/>
      <w:u w:val="single"/>
    </w:rPr>
  </w:style>
  <w:style w:type="paragraph" w:styleId="Testofumetto">
    <w:name w:val="Balloon Text"/>
    <w:basedOn w:val="Normale"/>
    <w:link w:val="TestofumettoCarattere"/>
    <w:rsid w:val="00C52037"/>
    <w:pPr>
      <w:spacing w:after="0"/>
    </w:pPr>
    <w:rPr>
      <w:rFonts w:ascii="Tahoma" w:hAnsi="Tahoma" w:cs="Tahoma"/>
      <w:sz w:val="16"/>
      <w:szCs w:val="16"/>
    </w:rPr>
  </w:style>
  <w:style w:type="character" w:customStyle="1" w:styleId="TestofumettoCarattere">
    <w:name w:val="Testo fumetto Carattere"/>
    <w:link w:val="Testofumetto"/>
    <w:locked/>
    <w:rsid w:val="00C52037"/>
    <w:rPr>
      <w:rFonts w:ascii="Tahoma" w:hAnsi="Tahoma" w:cs="Tahoma"/>
      <w:sz w:val="16"/>
      <w:szCs w:val="16"/>
    </w:rPr>
  </w:style>
  <w:style w:type="paragraph" w:styleId="Corpotesto">
    <w:name w:val="Body Text"/>
    <w:basedOn w:val="Normale"/>
    <w:link w:val="CorpotestoCarattere"/>
    <w:rsid w:val="00C52037"/>
    <w:pPr>
      <w:widowControl w:val="0"/>
      <w:tabs>
        <w:tab w:val="left" w:pos="-894"/>
        <w:tab w:val="left" w:pos="-567"/>
        <w:tab w:val="left" w:pos="-1"/>
        <w:tab w:val="left" w:pos="565"/>
        <w:tab w:val="left" w:pos="1131"/>
        <w:tab w:val="left" w:pos="1697"/>
        <w:tab w:val="left" w:pos="2263"/>
        <w:tab w:val="left" w:pos="2829"/>
        <w:tab w:val="left" w:pos="3395"/>
        <w:tab w:val="left" w:pos="3961"/>
        <w:tab w:val="left" w:pos="4527"/>
        <w:tab w:val="left" w:pos="5093"/>
        <w:tab w:val="left" w:pos="5659"/>
        <w:tab w:val="left" w:pos="6225"/>
        <w:tab w:val="left" w:pos="6791"/>
        <w:tab w:val="left" w:pos="7357"/>
        <w:tab w:val="left" w:pos="7923"/>
        <w:tab w:val="left" w:pos="8489"/>
        <w:tab w:val="left" w:pos="9055"/>
        <w:tab w:val="left" w:pos="9621"/>
      </w:tabs>
      <w:spacing w:after="0" w:line="240" w:lineRule="exact"/>
    </w:pPr>
    <w:rPr>
      <w:rFonts w:ascii="Times New Roman" w:hAnsi="Times New Roman"/>
      <w:color w:val="FF00FF"/>
      <w:szCs w:val="20"/>
      <w:lang w:eastAsia="it-IT"/>
    </w:rPr>
  </w:style>
  <w:style w:type="character" w:customStyle="1" w:styleId="CorpotestoCarattere">
    <w:name w:val="Corpo testo Carattere"/>
    <w:link w:val="Corpotesto"/>
    <w:locked/>
    <w:rsid w:val="00C52037"/>
    <w:rPr>
      <w:rFonts w:ascii="Times New Roman" w:eastAsia="Times New Roman" w:hAnsi="Times New Roman" w:cs="Times New Roman"/>
      <w:color w:val="FF00FF"/>
      <w:sz w:val="20"/>
      <w:szCs w:val="20"/>
      <w:lang w:val="x-none" w:eastAsia="it-IT"/>
    </w:rPr>
  </w:style>
  <w:style w:type="paragraph" w:styleId="Rientrocorpodeltesto2">
    <w:name w:val="Body Text Indent 2"/>
    <w:basedOn w:val="Normale"/>
    <w:link w:val="Rientrocorpodeltesto2Carattere"/>
    <w:rsid w:val="00C52037"/>
    <w:pPr>
      <w:widowControl w:val="0"/>
      <w:spacing w:line="480" w:lineRule="auto"/>
      <w:ind w:left="283"/>
    </w:pPr>
    <w:rPr>
      <w:rFonts w:ascii="Times New Roman" w:hAnsi="Times New Roman"/>
      <w:szCs w:val="20"/>
      <w:lang w:val="en-US" w:eastAsia="it-IT"/>
    </w:rPr>
  </w:style>
  <w:style w:type="character" w:customStyle="1" w:styleId="Rientrocorpodeltesto2Carattere">
    <w:name w:val="Rientro corpo del testo 2 Carattere"/>
    <w:link w:val="Rientrocorpodeltesto2"/>
    <w:locked/>
    <w:rsid w:val="00C52037"/>
    <w:rPr>
      <w:rFonts w:ascii="Times New Roman" w:eastAsia="Times New Roman" w:hAnsi="Times New Roman" w:cs="Times New Roman"/>
      <w:sz w:val="20"/>
      <w:szCs w:val="20"/>
      <w:lang w:val="en-US" w:eastAsia="it-IT"/>
    </w:rPr>
  </w:style>
  <w:style w:type="table" w:styleId="Grigliatabella">
    <w:name w:val="Table Grid"/>
    <w:basedOn w:val="Tabellanormale"/>
    <w:rsid w:val="00C520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C52037"/>
    <w:pPr>
      <w:tabs>
        <w:tab w:val="center" w:pos="4819"/>
        <w:tab w:val="right" w:pos="9638"/>
      </w:tabs>
      <w:spacing w:after="0"/>
    </w:pPr>
  </w:style>
  <w:style w:type="character" w:customStyle="1" w:styleId="IntestazioneCarattere">
    <w:name w:val="Intestazione Carattere"/>
    <w:link w:val="Intestazione"/>
    <w:locked/>
    <w:rsid w:val="00C52037"/>
    <w:rPr>
      <w:rFonts w:ascii="Arial" w:hAnsi="Arial" w:cs="Times New Roman"/>
      <w:sz w:val="20"/>
    </w:rPr>
  </w:style>
  <w:style w:type="paragraph" w:styleId="Pidipagina">
    <w:name w:val="footer"/>
    <w:basedOn w:val="Normale"/>
    <w:link w:val="PidipaginaCarattere"/>
    <w:rsid w:val="00C52037"/>
    <w:pPr>
      <w:tabs>
        <w:tab w:val="center" w:pos="4819"/>
        <w:tab w:val="right" w:pos="9638"/>
      </w:tabs>
      <w:spacing w:after="0"/>
    </w:pPr>
  </w:style>
  <w:style w:type="character" w:customStyle="1" w:styleId="PidipaginaCarattere">
    <w:name w:val="Piè di pagina Carattere"/>
    <w:link w:val="Pidipagina"/>
    <w:locked/>
    <w:rsid w:val="00C52037"/>
    <w:rPr>
      <w:rFonts w:ascii="Arial" w:hAnsi="Arial" w:cs="Times New Roman"/>
      <w:sz w:val="20"/>
    </w:rPr>
  </w:style>
  <w:style w:type="character" w:styleId="Rimandocommento">
    <w:name w:val="annotation reference"/>
    <w:semiHidden/>
    <w:rsid w:val="00C52037"/>
    <w:rPr>
      <w:rFonts w:cs="Times New Roman"/>
      <w:sz w:val="16"/>
      <w:szCs w:val="16"/>
    </w:rPr>
  </w:style>
  <w:style w:type="paragraph" w:styleId="Testocommento">
    <w:name w:val="annotation text"/>
    <w:basedOn w:val="Normale"/>
    <w:link w:val="TestocommentoCarattere"/>
    <w:uiPriority w:val="99"/>
    <w:rsid w:val="00C52037"/>
    <w:rPr>
      <w:szCs w:val="20"/>
    </w:rPr>
  </w:style>
  <w:style w:type="character" w:customStyle="1" w:styleId="TestocommentoCarattere">
    <w:name w:val="Testo commento Carattere"/>
    <w:link w:val="Testocommento"/>
    <w:uiPriority w:val="99"/>
    <w:locked/>
    <w:rsid w:val="00C52037"/>
    <w:rPr>
      <w:rFonts w:ascii="Arial" w:hAnsi="Arial" w:cs="Times New Roman"/>
      <w:sz w:val="20"/>
      <w:szCs w:val="20"/>
    </w:rPr>
  </w:style>
  <w:style w:type="paragraph" w:styleId="Soggettocommento">
    <w:name w:val="annotation subject"/>
    <w:basedOn w:val="Testocommento"/>
    <w:next w:val="Testocommento"/>
    <w:link w:val="SoggettocommentoCarattere"/>
    <w:semiHidden/>
    <w:rsid w:val="00C52037"/>
    <w:rPr>
      <w:b/>
      <w:bCs/>
    </w:rPr>
  </w:style>
  <w:style w:type="character" w:customStyle="1" w:styleId="SoggettocommentoCarattere">
    <w:name w:val="Soggetto commento Carattere"/>
    <w:link w:val="Soggettocommento"/>
    <w:semiHidden/>
    <w:locked/>
    <w:rsid w:val="00C52037"/>
    <w:rPr>
      <w:rFonts w:ascii="Arial" w:hAnsi="Arial" w:cs="Times New Roman"/>
      <w:b/>
      <w:bCs/>
      <w:sz w:val="20"/>
      <w:szCs w:val="20"/>
    </w:rPr>
  </w:style>
  <w:style w:type="paragraph" w:styleId="NormaleWeb">
    <w:name w:val="Normal (Web)"/>
    <w:basedOn w:val="Normale"/>
    <w:uiPriority w:val="99"/>
    <w:semiHidden/>
    <w:rsid w:val="00C52037"/>
    <w:pPr>
      <w:spacing w:before="100" w:beforeAutospacing="1" w:after="100" w:afterAutospacing="1"/>
    </w:pPr>
    <w:rPr>
      <w:rFonts w:ascii="Times New Roman" w:eastAsia="Calibri" w:hAnsi="Times New Roman"/>
      <w:sz w:val="24"/>
      <w:szCs w:val="24"/>
      <w:lang w:eastAsia="it-IT"/>
    </w:rPr>
  </w:style>
  <w:style w:type="paragraph" w:customStyle="1" w:styleId="elenco">
    <w:name w:val="elenco"/>
    <w:basedOn w:val="Normale"/>
    <w:link w:val="elencoCarattere"/>
    <w:rsid w:val="00C52037"/>
    <w:pPr>
      <w:numPr>
        <w:numId w:val="17"/>
      </w:numPr>
      <w:tabs>
        <w:tab w:val="left" w:pos="993"/>
        <w:tab w:val="left" w:pos="1134"/>
      </w:tabs>
      <w:ind w:right="284"/>
    </w:pPr>
    <w:rPr>
      <w:rFonts w:cs="Arial"/>
      <w:szCs w:val="20"/>
    </w:rPr>
  </w:style>
  <w:style w:type="paragraph" w:customStyle="1" w:styleId="titoletto">
    <w:name w:val="titoletto"/>
    <w:basedOn w:val="Normale"/>
    <w:link w:val="titolettoCarattere"/>
    <w:qFormat/>
    <w:rsid w:val="00C52037"/>
    <w:rPr>
      <w:rFonts w:cs="Arial"/>
      <w:b/>
      <w:bCs/>
      <w:color w:val="17365D"/>
      <w:sz w:val="22"/>
    </w:rPr>
  </w:style>
  <w:style w:type="character" w:customStyle="1" w:styleId="elencoCarattere">
    <w:name w:val="elenco Carattere"/>
    <w:link w:val="elenco"/>
    <w:locked/>
    <w:rsid w:val="00C52037"/>
    <w:rPr>
      <w:rFonts w:ascii="Arial" w:eastAsia="Times New Roman" w:hAnsi="Arial" w:cs="Arial"/>
      <w:lang w:eastAsia="en-US"/>
    </w:rPr>
  </w:style>
  <w:style w:type="character" w:customStyle="1" w:styleId="titolettoCarattere">
    <w:name w:val="titoletto Carattere"/>
    <w:link w:val="titoletto"/>
    <w:locked/>
    <w:rsid w:val="00C52037"/>
    <w:rPr>
      <w:rFonts w:ascii="Arial" w:hAnsi="Arial" w:cs="Arial"/>
      <w:b/>
      <w:bCs/>
      <w:color w:val="17365D"/>
    </w:rPr>
  </w:style>
  <w:style w:type="paragraph" w:styleId="PreformattatoHTML">
    <w:name w:val="HTML Preformatted"/>
    <w:basedOn w:val="Normale"/>
    <w:link w:val="PreformattatoHTMLCarattere"/>
    <w:semiHidden/>
    <w:rsid w:val="00F3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alibri" w:hAnsi="Courier New" w:cs="Courier New"/>
      <w:szCs w:val="20"/>
      <w:lang w:eastAsia="it-IT"/>
    </w:rPr>
  </w:style>
  <w:style w:type="character" w:customStyle="1" w:styleId="PreformattatoHTMLCarattere">
    <w:name w:val="Preformattato HTML Carattere"/>
    <w:link w:val="PreformattatoHTML"/>
    <w:semiHidden/>
    <w:locked/>
    <w:rsid w:val="00F30A86"/>
    <w:rPr>
      <w:rFonts w:ascii="Courier New" w:hAnsi="Courier New" w:cs="Courier New"/>
      <w:sz w:val="20"/>
      <w:szCs w:val="20"/>
      <w:lang w:val="x-none" w:eastAsia="it-IT"/>
    </w:rPr>
  </w:style>
  <w:style w:type="paragraph" w:customStyle="1" w:styleId="Revisione1">
    <w:name w:val="Revisione1"/>
    <w:hidden/>
    <w:semiHidden/>
    <w:rsid w:val="00834BCD"/>
    <w:rPr>
      <w:rFonts w:ascii="Arial" w:eastAsia="Times New Roman" w:hAnsi="Arial"/>
      <w:szCs w:val="22"/>
      <w:lang w:eastAsia="en-US"/>
    </w:rPr>
  </w:style>
  <w:style w:type="character" w:customStyle="1" w:styleId="Testosegnaposto1">
    <w:name w:val="Testo segnaposto1"/>
    <w:semiHidden/>
    <w:rsid w:val="00CB0397"/>
    <w:rPr>
      <w:rFonts w:cs="Times New Roman"/>
      <w:color w:val="808080"/>
    </w:rPr>
  </w:style>
  <w:style w:type="paragraph" w:customStyle="1" w:styleId="Paragrafoelenco2">
    <w:name w:val="Paragrafo elenco2"/>
    <w:basedOn w:val="Normale"/>
    <w:semiHidden/>
    <w:rsid w:val="00FC24F7"/>
    <w:pPr>
      <w:ind w:left="720"/>
      <w:contextualSpacing/>
    </w:pPr>
  </w:style>
  <w:style w:type="paragraph" w:styleId="Revisione">
    <w:name w:val="Revision"/>
    <w:hidden/>
    <w:uiPriority w:val="99"/>
    <w:semiHidden/>
    <w:rsid w:val="00DD7A21"/>
    <w:rPr>
      <w:rFonts w:ascii="Arial" w:eastAsia="Times New Roman" w:hAnsi="Arial"/>
      <w:szCs w:val="22"/>
      <w:lang w:eastAsia="en-US"/>
    </w:rPr>
  </w:style>
  <w:style w:type="paragraph" w:styleId="Paragrafoelenco">
    <w:name w:val="List Paragraph"/>
    <w:basedOn w:val="Normale"/>
    <w:uiPriority w:val="34"/>
    <w:qFormat/>
    <w:rsid w:val="00064F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52016206">
      <w:bodyDiv w:val="1"/>
      <w:marLeft w:val="0"/>
      <w:marRight w:val="0"/>
      <w:marTop w:val="0"/>
      <w:marBottom w:val="0"/>
      <w:divBdr>
        <w:top w:val="none" w:sz="0" w:space="0" w:color="auto"/>
        <w:left w:val="none" w:sz="0" w:space="0" w:color="auto"/>
        <w:bottom w:val="none" w:sz="0" w:space="0" w:color="auto"/>
        <w:right w:val="none" w:sz="0" w:space="0" w:color="auto"/>
      </w:divBdr>
    </w:div>
    <w:div w:id="431247959">
      <w:bodyDiv w:val="1"/>
      <w:marLeft w:val="0"/>
      <w:marRight w:val="0"/>
      <w:marTop w:val="0"/>
      <w:marBottom w:val="0"/>
      <w:divBdr>
        <w:top w:val="none" w:sz="0" w:space="0" w:color="auto"/>
        <w:left w:val="none" w:sz="0" w:space="0" w:color="auto"/>
        <w:bottom w:val="none" w:sz="0" w:space="0" w:color="auto"/>
        <w:right w:val="none" w:sz="0" w:space="0" w:color="auto"/>
      </w:divBdr>
    </w:div>
    <w:div w:id="589387007">
      <w:bodyDiv w:val="1"/>
      <w:marLeft w:val="0"/>
      <w:marRight w:val="0"/>
      <w:marTop w:val="0"/>
      <w:marBottom w:val="0"/>
      <w:divBdr>
        <w:top w:val="none" w:sz="0" w:space="0" w:color="auto"/>
        <w:left w:val="none" w:sz="0" w:space="0" w:color="auto"/>
        <w:bottom w:val="none" w:sz="0" w:space="0" w:color="auto"/>
        <w:right w:val="none" w:sz="0" w:space="0" w:color="auto"/>
      </w:divBdr>
    </w:div>
    <w:div w:id="632684664">
      <w:bodyDiv w:val="1"/>
      <w:marLeft w:val="0"/>
      <w:marRight w:val="0"/>
      <w:marTop w:val="0"/>
      <w:marBottom w:val="0"/>
      <w:divBdr>
        <w:top w:val="none" w:sz="0" w:space="0" w:color="auto"/>
        <w:left w:val="none" w:sz="0" w:space="0" w:color="auto"/>
        <w:bottom w:val="none" w:sz="0" w:space="0" w:color="auto"/>
        <w:right w:val="none" w:sz="0" w:space="0" w:color="auto"/>
      </w:divBdr>
    </w:div>
    <w:div w:id="669986221">
      <w:bodyDiv w:val="1"/>
      <w:marLeft w:val="0"/>
      <w:marRight w:val="0"/>
      <w:marTop w:val="0"/>
      <w:marBottom w:val="0"/>
      <w:divBdr>
        <w:top w:val="none" w:sz="0" w:space="0" w:color="auto"/>
        <w:left w:val="none" w:sz="0" w:space="0" w:color="auto"/>
        <w:bottom w:val="none" w:sz="0" w:space="0" w:color="auto"/>
        <w:right w:val="none" w:sz="0" w:space="0" w:color="auto"/>
      </w:divBdr>
    </w:div>
    <w:div w:id="1045523206">
      <w:bodyDiv w:val="1"/>
      <w:marLeft w:val="0"/>
      <w:marRight w:val="0"/>
      <w:marTop w:val="0"/>
      <w:marBottom w:val="0"/>
      <w:divBdr>
        <w:top w:val="none" w:sz="0" w:space="0" w:color="auto"/>
        <w:left w:val="none" w:sz="0" w:space="0" w:color="auto"/>
        <w:bottom w:val="none" w:sz="0" w:space="0" w:color="auto"/>
        <w:right w:val="none" w:sz="0" w:space="0" w:color="auto"/>
      </w:divBdr>
    </w:div>
    <w:div w:id="1320957254">
      <w:bodyDiv w:val="1"/>
      <w:marLeft w:val="0"/>
      <w:marRight w:val="0"/>
      <w:marTop w:val="0"/>
      <w:marBottom w:val="0"/>
      <w:divBdr>
        <w:top w:val="none" w:sz="0" w:space="0" w:color="auto"/>
        <w:left w:val="none" w:sz="0" w:space="0" w:color="auto"/>
        <w:bottom w:val="none" w:sz="0" w:space="0" w:color="auto"/>
        <w:right w:val="none" w:sz="0" w:space="0" w:color="auto"/>
      </w:divBdr>
    </w:div>
    <w:div w:id="1551190108">
      <w:bodyDiv w:val="1"/>
      <w:marLeft w:val="0"/>
      <w:marRight w:val="0"/>
      <w:marTop w:val="0"/>
      <w:marBottom w:val="0"/>
      <w:divBdr>
        <w:top w:val="none" w:sz="0" w:space="0" w:color="auto"/>
        <w:left w:val="none" w:sz="0" w:space="0" w:color="auto"/>
        <w:bottom w:val="none" w:sz="0" w:space="0" w:color="auto"/>
        <w:right w:val="none" w:sz="0" w:space="0" w:color="auto"/>
      </w:divBdr>
    </w:div>
    <w:div w:id="1798524842">
      <w:bodyDiv w:val="1"/>
      <w:marLeft w:val="0"/>
      <w:marRight w:val="0"/>
      <w:marTop w:val="0"/>
      <w:marBottom w:val="0"/>
      <w:divBdr>
        <w:top w:val="none" w:sz="0" w:space="0" w:color="auto"/>
        <w:left w:val="none" w:sz="0" w:space="0" w:color="auto"/>
        <w:bottom w:val="none" w:sz="0" w:space="0" w:color="auto"/>
        <w:right w:val="none" w:sz="0" w:space="0" w:color="auto"/>
      </w:divBdr>
    </w:div>
    <w:div w:id="1833374114">
      <w:bodyDiv w:val="1"/>
      <w:marLeft w:val="0"/>
      <w:marRight w:val="0"/>
      <w:marTop w:val="0"/>
      <w:marBottom w:val="0"/>
      <w:divBdr>
        <w:top w:val="none" w:sz="0" w:space="0" w:color="auto"/>
        <w:left w:val="none" w:sz="0" w:space="0" w:color="auto"/>
        <w:bottom w:val="none" w:sz="0" w:space="0" w:color="auto"/>
        <w:right w:val="none" w:sz="0" w:space="0" w:color="auto"/>
      </w:divBdr>
    </w:div>
    <w:div w:id="201552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hyperlink" Target="https://it.wikipedia.org/wiki/Ministero_del_lavoro_e_delle_politiche_sociali" TargetMode="External"/><Relationship Id="rId39" Type="http://schemas.openxmlformats.org/officeDocument/2006/relationships/hyperlink" Target="http://www.istat.it/it/files/2016/09/Mercato-del-lavoro-II-trim_2016.pdf?title=Il+mercato+del+lavoro+-+12%2Fset%2F2016+-+Testo+integrale+e+nota+metodologica.pdf" TargetMode="External"/><Relationship Id="rId21" Type="http://schemas.openxmlformats.org/officeDocument/2006/relationships/hyperlink" Target="https://urlsand.esvalabs.com/?u=https%3A%2F%2Fwww.cliclavoro.gov.it%2FNormative%2FDecreto_Interministeriale_27_marzo_2013.pdf&amp;e=e7a274c6&amp;h=663689e9" TargetMode="External"/><Relationship Id="rId34" Type="http://schemas.openxmlformats.org/officeDocument/2006/relationships/hyperlink" Target="http://www.inps.it"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yperlink" Target="https://it.wikipedia.org/wiki/IN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it.wikipedia.org/wiki/Dipartimento_per_le_Riforme_e_l'Innovazione_nella_Pubblica_Amministrazione" TargetMode="External"/><Relationship Id="rId32" Type="http://schemas.openxmlformats.org/officeDocument/2006/relationships/hyperlink" Target="http://www.lavoro.gov.it" TargetMode="External"/><Relationship Id="rId37" Type="http://schemas.openxmlformats.org/officeDocument/2006/relationships/hyperlink" Target="http://www.inps.it/webidentity/banchedatistatistiche/menu/voucher/main.html" TargetMode="External"/><Relationship Id="rId40" Type="http://schemas.openxmlformats.org/officeDocument/2006/relationships/hyperlink" Target="http://www.istat.i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it.wikipedia.org/wiki/Ministero_del_lavoro_e_della_previdenza_sociale" TargetMode="External"/><Relationship Id="rId28" Type="http://schemas.openxmlformats.org/officeDocument/2006/relationships/hyperlink" Target="https://it.wikipedia.org/wiki/INPS" TargetMode="External"/><Relationship Id="rId36" Type="http://schemas.openxmlformats.org/officeDocument/2006/relationships/hyperlink" Target="http://www.inps.it" TargetMode="External"/><Relationship Id="rId10" Type="http://schemas.openxmlformats.org/officeDocument/2006/relationships/chart" Target="charts/chart3.xml"/><Relationship Id="rId19" Type="http://schemas.openxmlformats.org/officeDocument/2006/relationships/hyperlink" Target="http://ec.europa.eu/eurostat/ramon/nomenclatures/index.cfm?TargetUrl=LST_NOM_DTL&amp;StrNom=NACE_REV2&amp;StrLanguageCode=IT&amp;IntPcKey=&amp;StrLayoutCode=HIERARCHIC" TargetMode="External"/><Relationship Id="rId31" Type="http://schemas.openxmlformats.org/officeDocument/2006/relationships/chart" Target="charts/chart1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urlsand.esvalabs.com/?u=https%3A%2F%2Fwww.cliclavoro.gov.it%2FNormative%2FCircolare_MLPS_27_giugno_2013_n.27.pdf&amp;e=e7a274c6&amp;h=c263e086" TargetMode="External"/><Relationship Id="rId27" Type="http://schemas.openxmlformats.org/officeDocument/2006/relationships/hyperlink" Target="https://it.wikipedia.org/wiki/Regioni_d'Italia" TargetMode="External"/><Relationship Id="rId30" Type="http://schemas.openxmlformats.org/officeDocument/2006/relationships/chart" Target="charts/chart11.xml"/><Relationship Id="rId35" Type="http://schemas.openxmlformats.org/officeDocument/2006/relationships/hyperlink" Target="http://www.inps.it/bussola/VisualizzaDOC.aspx?sVirtualURL=/docallegati/DatiEBilanci/osservatori/Documents/OsservatorioPrecariato_Gen-Set_2016_NoSintesi.pdf&amp;iIDDalPortale=10156" TargetMode="External"/><Relationship Id="rId43"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yperlink" Target="https://it.wikipedia.org/wiki/2008" TargetMode="External"/><Relationship Id="rId33" Type="http://schemas.openxmlformats.org/officeDocument/2006/relationships/hyperlink" Target="http://www.lavoro.gov.it/documenti-e-norme/studi-e-statistiche/Pagine/default.aspx" TargetMode="External"/><Relationship Id="rId38" Type="http://schemas.openxmlformats.org/officeDocument/2006/relationships/hyperlink" Target="http://www.istat.it" TargetMode="External"/><Relationship Id="rId20" Type="http://schemas.openxmlformats.org/officeDocument/2006/relationships/hyperlink" Target="http://www.istat.it/it/files/2011/03/l_39320061230it00010039.pdf" TargetMode="External"/><Relationship Id="rId41" Type="http://schemas.openxmlformats.org/officeDocument/2006/relationships/hyperlink" Target="http://www.istat.it/it/files/2016/09/Mercato-del-lavoro-II-trim_2016.pdf?title=Il+mercato+del+lavoro+-+12%2Fset%2F2016+-+Testo+integrale+e+nota+metodologica.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ps.it/docallegatiNP/Mig/Dati_analisi_bilanci/Osservatori_statistici/Osservatorio_precariato/Osservatorio_Precariato_Gen_Mar_2019.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wmf"/></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11_I_2019\Tavole%20e%20figure_I%202019%20formattat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III%202016\Comunicato%20e%20Tavole%20nuove%2020dic16\Tavole%20e%20figure_III%202016%2020%20dicembre%20formattate%20ufficio%20stampa.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Nas-tuscolana\csocc\comunicato_accordo_a_quattro\NEW\Comunicato%20stampa%20trimestrale\III%202016\Comunicato%20e%20Tavole%20nuove%2020dic16\Tavole%20e%20figure_III%202016%2020%20dicembre%20formattate%20ufficio%20stamp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11_I_2019\Tavole%20e%20figure_I%202019%20formattate.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11_I_2019\Tavole%20e%20figure_I%202019%20formattat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Excel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Foglio_di_lavoro_di_Microsoft_Excel4.xlsx"/></Relationships>
</file>

<file path=word/charts/_rels/chart7.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11_I_2019\Tavole%20e%20figure_I%202019%20formattat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11_I_2019\Copia%20di%20Tavole%20e%20figure_I%202019%20formattate_or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as-tuscolana\CSOCC\comunicato_accordo_a_quattro\NEW\Comunicato%20stampa%20trimestrale\Comunicato%20integrato\11_I_2019\Tavole%20e%20figure_I%202019%20formatt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Narrow" panose="020B0606020202030204" pitchFamily="34" charset="0"/>
              </a:defRPr>
            </a:pPr>
            <a:r>
              <a:rPr lang="en-US" sz="800">
                <a:latin typeface="Arial Narrow" panose="020B0606020202030204" pitchFamily="34" charset="0"/>
                <a:cs typeface="Arial" panose="020B0604020202020204" pitchFamily="34" charset="0"/>
              </a:rPr>
              <a:t>ATTIVAZIONI E</a:t>
            </a:r>
            <a:r>
              <a:rPr lang="en-US" sz="800" baseline="0">
                <a:latin typeface="Arial Narrow" panose="020B0606020202030204" pitchFamily="34" charset="0"/>
                <a:cs typeface="Arial" panose="020B0604020202020204" pitchFamily="34" charset="0"/>
              </a:rPr>
              <a:t> CESSAZIONI NELL'ULTIMO TRIMESTRE </a:t>
            </a:r>
          </a:p>
          <a:p>
            <a:pPr>
              <a:defRPr sz="800">
                <a:latin typeface="Arial Narrow" panose="020B0606020202030204" pitchFamily="34" charset="0"/>
              </a:defRPr>
            </a:pPr>
            <a:r>
              <a:rPr lang="en-US" sz="800" b="0" baseline="0">
                <a:latin typeface="Arial Narrow" panose="020B0606020202030204" pitchFamily="34" charset="0"/>
                <a:cs typeface="Arial" panose="020B0604020202020204" pitchFamily="34" charset="0"/>
              </a:rPr>
              <a:t>(valori assoluti) </a:t>
            </a:r>
            <a:endParaRPr lang="en-US" sz="800" b="0">
              <a:latin typeface="Arial Narrow" panose="020B0606020202030204" pitchFamily="34" charset="0"/>
              <a:cs typeface="Arial" panose="020B0604020202020204" pitchFamily="34" charset="0"/>
            </a:endParaRPr>
          </a:p>
        </c:rich>
      </c:tx>
      <c:layout>
        <c:manualLayout>
          <c:xMode val="edge"/>
          <c:yMode val="edge"/>
          <c:x val="0.17954000742259174"/>
          <c:y val="1.6125065947917148E-2"/>
        </c:manualLayout>
      </c:layout>
      <c:overlay val="1"/>
    </c:title>
    <c:autoTitleDeleted val="0"/>
    <c:plotArea>
      <c:layout>
        <c:manualLayout>
          <c:layoutTarget val="inner"/>
          <c:xMode val="edge"/>
          <c:yMode val="edge"/>
          <c:x val="8.474842023051618E-2"/>
          <c:y val="4.1434515559937622E-2"/>
          <c:w val="0.88095667556973878"/>
          <c:h val="0.77598016816442938"/>
        </c:manualLayout>
      </c:layout>
      <c:barChart>
        <c:barDir val="col"/>
        <c:grouping val="clustered"/>
        <c:varyColors val="0"/>
        <c:ser>
          <c:idx val="0"/>
          <c:order val="0"/>
          <c:tx>
            <c:strRef>
              <c:f>'Figura 1 CO'!$H$7</c:f>
              <c:strCache>
                <c:ptCount val="1"/>
                <c:pt idx="0">
                  <c:v>Attivazioni</c:v>
                </c:pt>
              </c:strCache>
            </c:strRef>
          </c:tx>
          <c:spPr>
            <a:solidFill>
              <a:schemeClr val="bg1">
                <a:lumMod val="65000"/>
              </a:schemeClr>
            </a:solidFill>
            <a:ln w="41275"/>
          </c:spPr>
          <c:invertIfNegative val="0"/>
          <c:cat>
            <c:multiLvlStrRef>
              <c:f>'Figura 1 CO'!$A$12:$B$32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CO'!$H$12:$H$32</c:f>
              <c:numCache>
                <c:formatCode>_-* #,##0_-;\-* #,##0_-;_-* "-"??_-;_-@_-</c:formatCode>
                <c:ptCount val="21"/>
                <c:pt idx="0">
                  <c:v>2110.3850000000002</c:v>
                </c:pt>
                <c:pt idx="1">
                  <c:v>2155.6460000000002</c:v>
                </c:pt>
                <c:pt idx="2">
                  <c:v>2150.58</c:v>
                </c:pt>
                <c:pt idx="3">
                  <c:v>2128.9830000000002</c:v>
                </c:pt>
                <c:pt idx="4">
                  <c:v>2197.5830000000001</c:v>
                </c:pt>
                <c:pt idx="5">
                  <c:v>2333.4670000000001</c:v>
                </c:pt>
                <c:pt idx="6">
                  <c:v>2263.6039999999998</c:v>
                </c:pt>
                <c:pt idx="7">
                  <c:v>2214.6419999999998</c:v>
                </c:pt>
                <c:pt idx="8">
                  <c:v>2256.826</c:v>
                </c:pt>
                <c:pt idx="9">
                  <c:v>2101.4899999999998</c:v>
                </c:pt>
                <c:pt idx="10">
                  <c:v>2107.1030000000001</c:v>
                </c:pt>
                <c:pt idx="11">
                  <c:v>2160.42</c:v>
                </c:pt>
                <c:pt idx="12">
                  <c:v>2240.1219999999998</c:v>
                </c:pt>
                <c:pt idx="13">
                  <c:v>2340.6550000000002</c:v>
                </c:pt>
                <c:pt idx="14">
                  <c:v>2363.7139999999999</c:v>
                </c:pt>
                <c:pt idx="15">
                  <c:v>2386.7440000000001</c:v>
                </c:pt>
                <c:pt idx="16">
                  <c:v>2461.7579999999998</c:v>
                </c:pt>
                <c:pt idx="17">
                  <c:v>2497.3009999999999</c:v>
                </c:pt>
                <c:pt idx="18">
                  <c:v>2496.3560000000002</c:v>
                </c:pt>
                <c:pt idx="19">
                  <c:v>2516.105</c:v>
                </c:pt>
                <c:pt idx="20">
                  <c:v>2580.4789999999998</c:v>
                </c:pt>
              </c:numCache>
            </c:numRef>
          </c:val>
          <c:extLst xmlns:c16r2="http://schemas.microsoft.com/office/drawing/2015/06/chart">
            <c:ext xmlns:c16="http://schemas.microsoft.com/office/drawing/2014/chart" uri="{C3380CC4-5D6E-409C-BE32-E72D297353CC}">
              <c16:uniqueId val="{00000000-4269-4B28-BF9C-16EF3E5FF543}"/>
            </c:ext>
          </c:extLst>
        </c:ser>
        <c:ser>
          <c:idx val="1"/>
          <c:order val="1"/>
          <c:tx>
            <c:strRef>
              <c:f>'Figura 1 CO'!$I$7</c:f>
              <c:strCache>
                <c:ptCount val="1"/>
                <c:pt idx="0">
                  <c:v>Cessazioni</c:v>
                </c:pt>
              </c:strCache>
            </c:strRef>
          </c:tx>
          <c:spPr>
            <a:solidFill>
              <a:srgbClr val="00B050"/>
            </a:solidFill>
          </c:spPr>
          <c:invertIfNegative val="0"/>
          <c:cat>
            <c:multiLvlStrRef>
              <c:f>'Figura 1 CO'!$A$12:$B$32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CO'!$I$12:$I$32</c:f>
              <c:numCache>
                <c:formatCode>_-* #,##0_-;\-* #,##0_-;_-* "-"??_-;_-@_-</c:formatCode>
                <c:ptCount val="21"/>
                <c:pt idx="0">
                  <c:v>2080.6080000000002</c:v>
                </c:pt>
                <c:pt idx="1">
                  <c:v>2101.4859999999999</c:v>
                </c:pt>
                <c:pt idx="2">
                  <c:v>2113.375</c:v>
                </c:pt>
                <c:pt idx="3">
                  <c:v>2157.7139999999999</c:v>
                </c:pt>
                <c:pt idx="4">
                  <c:v>2192.335</c:v>
                </c:pt>
                <c:pt idx="5">
                  <c:v>2181.8449999999998</c:v>
                </c:pt>
                <c:pt idx="6">
                  <c:v>2130.6289999999999</c:v>
                </c:pt>
                <c:pt idx="7">
                  <c:v>2092.7539999999999</c:v>
                </c:pt>
                <c:pt idx="8">
                  <c:v>2031.453</c:v>
                </c:pt>
                <c:pt idx="9">
                  <c:v>1951.075</c:v>
                </c:pt>
                <c:pt idx="10">
                  <c:v>2029.402</c:v>
                </c:pt>
                <c:pt idx="11">
                  <c:v>2081.36</c:v>
                </c:pt>
                <c:pt idx="12">
                  <c:v>2110.9580000000001</c:v>
                </c:pt>
                <c:pt idx="13">
                  <c:v>2183.337</c:v>
                </c:pt>
                <c:pt idx="14">
                  <c:v>2261.6280000000002</c:v>
                </c:pt>
                <c:pt idx="15">
                  <c:v>2284.7159999999999</c:v>
                </c:pt>
                <c:pt idx="16">
                  <c:v>2327.5940000000001</c:v>
                </c:pt>
                <c:pt idx="17">
                  <c:v>2393.6170000000002</c:v>
                </c:pt>
                <c:pt idx="18">
                  <c:v>2440.7489999999998</c:v>
                </c:pt>
                <c:pt idx="19">
                  <c:v>2415.2130000000002</c:v>
                </c:pt>
                <c:pt idx="20">
                  <c:v>2442.8029999999999</c:v>
                </c:pt>
              </c:numCache>
            </c:numRef>
          </c:val>
          <c:extLst xmlns:c16r2="http://schemas.microsoft.com/office/drawing/2015/06/chart">
            <c:ext xmlns:c16="http://schemas.microsoft.com/office/drawing/2014/chart" uri="{C3380CC4-5D6E-409C-BE32-E72D297353CC}">
              <c16:uniqueId val="{00000001-4269-4B28-BF9C-16EF3E5FF543}"/>
            </c:ext>
          </c:extLst>
        </c:ser>
        <c:dLbls>
          <c:showLegendKey val="0"/>
          <c:showVal val="0"/>
          <c:showCatName val="0"/>
          <c:showSerName val="0"/>
          <c:showPercent val="0"/>
          <c:showBubbleSize val="0"/>
        </c:dLbls>
        <c:gapWidth val="45"/>
        <c:axId val="437808640"/>
        <c:axId val="437806400"/>
      </c:barChart>
      <c:catAx>
        <c:axId val="437808640"/>
        <c:scaling>
          <c:orientation val="minMax"/>
        </c:scaling>
        <c:delete val="0"/>
        <c:axPos val="b"/>
        <c:numFmt formatCode="General" sourceLinked="0"/>
        <c:majorTickMark val="out"/>
        <c:minorTickMark val="none"/>
        <c:tickLblPos val="low"/>
        <c:txPr>
          <a:bodyPr/>
          <a:lstStyle/>
          <a:p>
            <a:pPr>
              <a:defRPr sz="700"/>
            </a:pPr>
            <a:endParaRPr lang="it-IT"/>
          </a:p>
        </c:txPr>
        <c:crossAx val="437806400"/>
        <c:crosses val="autoZero"/>
        <c:auto val="1"/>
        <c:lblAlgn val="ctr"/>
        <c:lblOffset val="100"/>
        <c:noMultiLvlLbl val="0"/>
      </c:catAx>
      <c:valAx>
        <c:axId val="437806400"/>
        <c:scaling>
          <c:orientation val="minMax"/>
          <c:max val="8000"/>
          <c:min val="0"/>
        </c:scaling>
        <c:delete val="0"/>
        <c:axPos val="l"/>
        <c:majorGridlines>
          <c:spPr>
            <a:ln>
              <a:noFill/>
            </a:ln>
          </c:spPr>
        </c:majorGridlines>
        <c:numFmt formatCode="#,##0" sourceLinked="0"/>
        <c:majorTickMark val="out"/>
        <c:minorTickMark val="none"/>
        <c:tickLblPos val="nextTo"/>
        <c:txPr>
          <a:bodyPr/>
          <a:lstStyle/>
          <a:p>
            <a:pPr>
              <a:defRPr sz="700"/>
            </a:pPr>
            <a:endParaRPr lang="it-IT"/>
          </a:p>
        </c:txPr>
        <c:crossAx val="437808640"/>
        <c:crosses val="autoZero"/>
        <c:crossBetween val="between"/>
      </c:valAx>
    </c:plotArea>
    <c:legend>
      <c:legendPos val="r"/>
      <c:layout>
        <c:manualLayout>
          <c:xMode val="edge"/>
          <c:yMode val="edge"/>
          <c:x val="9.4492797355611835E-2"/>
          <c:y val="0.12578171749962019"/>
          <c:w val="0.14684509581173724"/>
          <c:h val="8.9449100385394095E-2"/>
        </c:manualLayout>
      </c:layout>
      <c:overlay val="0"/>
      <c:txPr>
        <a:bodyPr/>
        <a:lstStyle/>
        <a:p>
          <a:pPr>
            <a:defRPr sz="700"/>
          </a:pPr>
          <a:endParaRPr lang="it-IT"/>
        </a:p>
      </c:txPr>
    </c:legend>
    <c:plotVisOnly val="1"/>
    <c:dispBlanksAs val="gap"/>
    <c:showDLblsOverMax val="0"/>
  </c:chart>
  <c:spPr>
    <a:ln>
      <a:noFill/>
    </a:ln>
  </c:spPr>
  <c:txPr>
    <a:bodyPr/>
    <a:lstStyle/>
    <a:p>
      <a:pPr>
        <a:defRPr sz="800" baseline="0">
          <a:latin typeface="Arial Narrow" panose="020B0606020202030204" pitchFamily="34" charset="0"/>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81063085641608E-2"/>
          <c:y val="3.936191060562326E-2"/>
          <c:w val="0.9000305253814076"/>
          <c:h val="0.78639024054577444"/>
        </c:manualLayout>
      </c:layout>
      <c:lineChart>
        <c:grouping val="standard"/>
        <c:varyColors val="0"/>
        <c:ser>
          <c:idx val="0"/>
          <c:order val="0"/>
          <c:tx>
            <c:strRef>
              <c:f>'Figura 5 e 6 INPS '!$J$6</c:f>
              <c:strCache>
                <c:ptCount val="1"/>
                <c:pt idx="0">
                  <c:v>Lavoratori in somministrazione</c:v>
                </c:pt>
              </c:strCache>
            </c:strRef>
          </c:tx>
          <c:spPr>
            <a:ln>
              <a:solidFill>
                <a:srgbClr val="0070C0"/>
              </a:solidFill>
            </a:ln>
          </c:spPr>
          <c:marker>
            <c:symbol val="none"/>
          </c:marker>
          <c:cat>
            <c:multiLvlStrRef>
              <c:f>'Figura 5 e 6 INPS '!$A$15:$B$35</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5 e 6 INPS '!$J$15:$J$35</c:f>
              <c:numCache>
                <c:formatCode>#,##0.0_ ;\-#,##0.0\ </c:formatCode>
                <c:ptCount val="21"/>
                <c:pt idx="0">
                  <c:v>6.6289307758016101</c:v>
                </c:pt>
                <c:pt idx="1">
                  <c:v>11.160699007861826</c:v>
                </c:pt>
                <c:pt idx="2">
                  <c:v>9.282653327968081</c:v>
                </c:pt>
                <c:pt idx="3">
                  <c:v>11.054673943906364</c:v>
                </c:pt>
                <c:pt idx="4">
                  <c:v>16.975159519586541</c:v>
                </c:pt>
                <c:pt idx="5">
                  <c:v>17.385366099403711</c:v>
                </c:pt>
                <c:pt idx="6">
                  <c:v>17.303066383205177</c:v>
                </c:pt>
                <c:pt idx="7">
                  <c:v>13.489470672505247</c:v>
                </c:pt>
                <c:pt idx="8">
                  <c:v>2.2155039978468483</c:v>
                </c:pt>
                <c:pt idx="9">
                  <c:v>4.2846226382479697</c:v>
                </c:pt>
                <c:pt idx="10">
                  <c:v>8.2122416060635288</c:v>
                </c:pt>
                <c:pt idx="11">
                  <c:v>12.877113684205503</c:v>
                </c:pt>
                <c:pt idx="12">
                  <c:v>22.491354442441384</c:v>
                </c:pt>
                <c:pt idx="13">
                  <c:v>24.432027325790084</c:v>
                </c:pt>
                <c:pt idx="14">
                  <c:v>23.816400162612641</c:v>
                </c:pt>
                <c:pt idx="15">
                  <c:v>27.242708050633141</c:v>
                </c:pt>
                <c:pt idx="16">
                  <c:v>23.526206740229071</c:v>
                </c:pt>
                <c:pt idx="17">
                  <c:v>13.891634757428534</c:v>
                </c:pt>
                <c:pt idx="18">
                  <c:v>7.299622073635784</c:v>
                </c:pt>
                <c:pt idx="19">
                  <c:v>0.77065502357360705</c:v>
                </c:pt>
                <c:pt idx="20">
                  <c:v>-5.092881750758333</c:v>
                </c:pt>
              </c:numCache>
            </c:numRef>
          </c:val>
          <c:smooth val="0"/>
          <c:extLst xmlns:c16r2="http://schemas.microsoft.com/office/drawing/2015/06/chart">
            <c:ext xmlns:c16="http://schemas.microsoft.com/office/drawing/2014/chart" uri="{C3380CC4-5D6E-409C-BE32-E72D297353CC}">
              <c16:uniqueId val="{00000000-CD1F-4091-8546-2E666B91C696}"/>
            </c:ext>
          </c:extLst>
        </c:ser>
        <c:ser>
          <c:idx val="1"/>
          <c:order val="1"/>
          <c:tx>
            <c:strRef>
              <c:f>'Figura 5 e 6 INPS '!$K$6</c:f>
              <c:strCache>
                <c:ptCount val="1"/>
                <c:pt idx="0">
                  <c:v>Lavoratori a chiamata (intermittente)</c:v>
                </c:pt>
              </c:strCache>
            </c:strRef>
          </c:tx>
          <c:spPr>
            <a:ln>
              <a:solidFill>
                <a:srgbClr val="FF0000"/>
              </a:solidFill>
            </a:ln>
          </c:spPr>
          <c:marker>
            <c:symbol val="none"/>
          </c:marker>
          <c:cat>
            <c:multiLvlStrRef>
              <c:f>'Figura 5 e 6 INPS '!$A$15:$B$35</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5 e 6 INPS '!$K$15:$K$35</c:f>
              <c:numCache>
                <c:formatCode>#,##0.0_ ;\-#,##0.0\ </c:formatCode>
                <c:ptCount val="21"/>
                <c:pt idx="0">
                  <c:v>-15.371276258948734</c:v>
                </c:pt>
                <c:pt idx="1">
                  <c:v>-12.611934722978239</c:v>
                </c:pt>
                <c:pt idx="2">
                  <c:v>-12.491028084988164</c:v>
                </c:pt>
                <c:pt idx="3">
                  <c:v>-9.6705998865742888</c:v>
                </c:pt>
                <c:pt idx="4">
                  <c:v>-9.7763178853979085</c:v>
                </c:pt>
                <c:pt idx="5">
                  <c:v>-12.999660057118554</c:v>
                </c:pt>
                <c:pt idx="6">
                  <c:v>-12.348278561112998</c:v>
                </c:pt>
                <c:pt idx="7">
                  <c:v>-12.017842040777115</c:v>
                </c:pt>
                <c:pt idx="8">
                  <c:v>-12.361468150046404</c:v>
                </c:pt>
                <c:pt idx="9">
                  <c:v>-12.060449652196894</c:v>
                </c:pt>
                <c:pt idx="10">
                  <c:v>-8.0203249987422751</c:v>
                </c:pt>
                <c:pt idx="11">
                  <c:v>2.5173208931776143</c:v>
                </c:pt>
                <c:pt idx="12">
                  <c:v>14.320249069043395</c:v>
                </c:pt>
                <c:pt idx="13">
                  <c:v>76.113140579644593</c:v>
                </c:pt>
                <c:pt idx="14">
                  <c:v>79.919924738005122</c:v>
                </c:pt>
                <c:pt idx="15">
                  <c:v>71.376216845189248</c:v>
                </c:pt>
                <c:pt idx="16">
                  <c:v>67.140942392720589</c:v>
                </c:pt>
                <c:pt idx="17">
                  <c:v>15.88251201423731</c:v>
                </c:pt>
                <c:pt idx="18">
                  <c:v>8.7837139452308026</c:v>
                </c:pt>
                <c:pt idx="19">
                  <c:v>8.2528693475028803</c:v>
                </c:pt>
                <c:pt idx="20">
                  <c:v>7.3023611707931204</c:v>
                </c:pt>
              </c:numCache>
            </c:numRef>
          </c:val>
          <c:smooth val="0"/>
          <c:extLst xmlns:c16r2="http://schemas.microsoft.com/office/drawing/2015/06/chart">
            <c:ext xmlns:c16="http://schemas.microsoft.com/office/drawing/2014/chart" uri="{C3380CC4-5D6E-409C-BE32-E72D297353CC}">
              <c16:uniqueId val="{00000001-CD1F-4091-8546-2E666B91C696}"/>
            </c:ext>
          </c:extLst>
        </c:ser>
        <c:dLbls>
          <c:showLegendKey val="0"/>
          <c:showVal val="0"/>
          <c:showCatName val="0"/>
          <c:showSerName val="0"/>
          <c:showPercent val="0"/>
          <c:showBubbleSize val="0"/>
        </c:dLbls>
        <c:smooth val="0"/>
        <c:axId val="293761056"/>
        <c:axId val="293761616"/>
      </c:lineChart>
      <c:catAx>
        <c:axId val="293761056"/>
        <c:scaling>
          <c:orientation val="minMax"/>
        </c:scaling>
        <c:delete val="0"/>
        <c:axPos val="b"/>
        <c:numFmt formatCode="General" sourceLinked="0"/>
        <c:majorTickMark val="out"/>
        <c:minorTickMark val="none"/>
        <c:tickLblPos val="low"/>
        <c:crossAx val="293761616"/>
        <c:crosses val="autoZero"/>
        <c:auto val="1"/>
        <c:lblAlgn val="ctr"/>
        <c:lblOffset val="100"/>
        <c:noMultiLvlLbl val="0"/>
      </c:catAx>
      <c:valAx>
        <c:axId val="293761616"/>
        <c:scaling>
          <c:orientation val="minMax"/>
          <c:max val="90"/>
          <c:min val="-30"/>
        </c:scaling>
        <c:delete val="0"/>
        <c:axPos val="l"/>
        <c:majorGridlines>
          <c:spPr>
            <a:ln>
              <a:noFill/>
            </a:ln>
          </c:spPr>
        </c:majorGridlines>
        <c:numFmt formatCode="#,##0_ ;\-#,##0\ " sourceLinked="0"/>
        <c:majorTickMark val="out"/>
        <c:minorTickMark val="none"/>
        <c:tickLblPos val="low"/>
        <c:txPr>
          <a:bodyPr/>
          <a:lstStyle/>
          <a:p>
            <a:pPr>
              <a:defRPr sz="700"/>
            </a:pPr>
            <a:endParaRPr lang="it-IT"/>
          </a:p>
        </c:txPr>
        <c:crossAx val="293761056"/>
        <c:crosses val="autoZero"/>
        <c:crossBetween val="between"/>
        <c:majorUnit val="10"/>
      </c:valAx>
    </c:plotArea>
    <c:legend>
      <c:legendPos val="r"/>
      <c:layout>
        <c:manualLayout>
          <c:xMode val="edge"/>
          <c:yMode val="edge"/>
          <c:x val="7.1097583590094715E-2"/>
          <c:y val="4.9559813715788242E-2"/>
          <c:w val="0.57287280326372236"/>
          <c:h val="0.11624853485128921"/>
        </c:manualLayout>
      </c:layout>
      <c:overlay val="0"/>
      <c:txPr>
        <a:bodyPr/>
        <a:lstStyle/>
        <a:p>
          <a:pPr>
            <a:defRPr sz="700"/>
          </a:pPr>
          <a:endParaRPr lang="it-IT"/>
        </a:p>
      </c:txPr>
    </c:legend>
    <c:plotVisOnly val="1"/>
    <c:dispBlanksAs val="gap"/>
    <c:showDLblsOverMax val="0"/>
  </c:chart>
  <c:txPr>
    <a:bodyPr/>
    <a:lstStyle/>
    <a:p>
      <a:pPr>
        <a:defRPr sz="700" baseline="0">
          <a:latin typeface="Arial Narrow" panose="020B0606020202030204" pitchFamily="34" charset="0"/>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87973451219069E-2"/>
          <c:y val="6.8857589984350542E-2"/>
          <c:w val="0.88828726891253684"/>
          <c:h val="0.67052505760723569"/>
        </c:manualLayout>
      </c:layout>
      <c:lineChart>
        <c:grouping val="standard"/>
        <c:varyColors val="0"/>
        <c:ser>
          <c:idx val="0"/>
          <c:order val="0"/>
          <c:tx>
            <c:strRef>
              <c:f>'Figura 4'!$F$1</c:f>
              <c:strCache>
                <c:ptCount val="1"/>
                <c:pt idx="0">
                  <c:v>Attivazioni giornaliere cumulate (AGC)</c:v>
                </c:pt>
              </c:strCache>
            </c:strRef>
          </c:tx>
          <c:spPr>
            <a:ln>
              <a:solidFill>
                <a:schemeClr val="bg1">
                  <a:lumMod val="65000"/>
                </a:schemeClr>
              </a:solidFill>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4'!$F$2:$F$460</c:f>
              <c:numCache>
                <c:formatCode>General</c:formatCode>
                <c:ptCount val="459"/>
                <c:pt idx="0">
                  <c:v>47041505</c:v>
                </c:pt>
                <c:pt idx="1">
                  <c:v>47074787</c:v>
                </c:pt>
                <c:pt idx="2">
                  <c:v>47101532</c:v>
                </c:pt>
                <c:pt idx="3">
                  <c:v>47123181</c:v>
                </c:pt>
                <c:pt idx="4">
                  <c:v>47127248</c:v>
                </c:pt>
                <c:pt idx="5">
                  <c:v>47162281</c:v>
                </c:pt>
                <c:pt idx="6">
                  <c:v>47190160</c:v>
                </c:pt>
                <c:pt idx="7">
                  <c:v>47215783</c:v>
                </c:pt>
                <c:pt idx="8">
                  <c:v>47238274</c:v>
                </c:pt>
                <c:pt idx="9">
                  <c:v>47259123</c:v>
                </c:pt>
                <c:pt idx="10">
                  <c:v>47276020</c:v>
                </c:pt>
                <c:pt idx="11">
                  <c:v>47279273</c:v>
                </c:pt>
                <c:pt idx="12">
                  <c:v>47309592</c:v>
                </c:pt>
                <c:pt idx="13">
                  <c:v>47332908</c:v>
                </c:pt>
                <c:pt idx="14">
                  <c:v>47357581</c:v>
                </c:pt>
                <c:pt idx="15">
                  <c:v>47382253</c:v>
                </c:pt>
                <c:pt idx="16">
                  <c:v>47400609</c:v>
                </c:pt>
                <c:pt idx="17">
                  <c:v>47417387</c:v>
                </c:pt>
                <c:pt idx="18">
                  <c:v>47420528</c:v>
                </c:pt>
                <c:pt idx="19">
                  <c:v>47450649</c:v>
                </c:pt>
                <c:pt idx="20">
                  <c:v>47473471</c:v>
                </c:pt>
                <c:pt idx="21">
                  <c:v>47495122</c:v>
                </c:pt>
                <c:pt idx="22">
                  <c:v>47512960</c:v>
                </c:pt>
                <c:pt idx="23">
                  <c:v>47529584</c:v>
                </c:pt>
                <c:pt idx="24">
                  <c:v>47543293</c:v>
                </c:pt>
                <c:pt idx="25">
                  <c:v>47546528</c:v>
                </c:pt>
                <c:pt idx="26">
                  <c:v>47566898</c:v>
                </c:pt>
                <c:pt idx="27">
                  <c:v>47584334</c:v>
                </c:pt>
                <c:pt idx="28">
                  <c:v>47598476</c:v>
                </c:pt>
                <c:pt idx="29">
                  <c:v>47611052</c:v>
                </c:pt>
                <c:pt idx="30">
                  <c:v>47619967</c:v>
                </c:pt>
                <c:pt idx="31">
                  <c:v>47696141</c:v>
                </c:pt>
                <c:pt idx="32">
                  <c:v>47699992</c:v>
                </c:pt>
                <c:pt idx="33">
                  <c:v>47740726</c:v>
                </c:pt>
                <c:pt idx="34">
                  <c:v>47766165</c:v>
                </c:pt>
                <c:pt idx="35">
                  <c:v>47787850</c:v>
                </c:pt>
                <c:pt idx="36">
                  <c:v>47806953</c:v>
                </c:pt>
                <c:pt idx="37">
                  <c:v>47825252</c:v>
                </c:pt>
                <c:pt idx="38">
                  <c:v>47840453</c:v>
                </c:pt>
                <c:pt idx="39">
                  <c:v>47843575</c:v>
                </c:pt>
                <c:pt idx="40">
                  <c:v>47865683</c:v>
                </c:pt>
                <c:pt idx="41">
                  <c:v>47879281</c:v>
                </c:pt>
                <c:pt idx="42">
                  <c:v>47890201</c:v>
                </c:pt>
                <c:pt idx="43">
                  <c:v>47899593</c:v>
                </c:pt>
                <c:pt idx="44">
                  <c:v>47908099</c:v>
                </c:pt>
                <c:pt idx="45">
                  <c:v>47912207</c:v>
                </c:pt>
                <c:pt idx="46">
                  <c:v>47915231</c:v>
                </c:pt>
                <c:pt idx="47">
                  <c:v>47933607</c:v>
                </c:pt>
                <c:pt idx="48">
                  <c:v>47945329</c:v>
                </c:pt>
                <c:pt idx="49">
                  <c:v>47954808</c:v>
                </c:pt>
                <c:pt idx="50">
                  <c:v>47964543</c:v>
                </c:pt>
                <c:pt idx="51">
                  <c:v>47972215</c:v>
                </c:pt>
                <c:pt idx="52">
                  <c:v>47978805</c:v>
                </c:pt>
                <c:pt idx="53">
                  <c:v>47981249</c:v>
                </c:pt>
                <c:pt idx="54">
                  <c:v>48007473</c:v>
                </c:pt>
                <c:pt idx="55">
                  <c:v>48024887</c:v>
                </c:pt>
                <c:pt idx="56">
                  <c:v>48040462</c:v>
                </c:pt>
                <c:pt idx="57">
                  <c:v>48054209</c:v>
                </c:pt>
                <c:pt idx="58">
                  <c:v>48066619</c:v>
                </c:pt>
                <c:pt idx="59">
                  <c:v>48075732</c:v>
                </c:pt>
                <c:pt idx="60">
                  <c:v>48078479</c:v>
                </c:pt>
                <c:pt idx="61">
                  <c:v>48093681</c:v>
                </c:pt>
                <c:pt idx="62">
                  <c:v>48308277</c:v>
                </c:pt>
                <c:pt idx="63">
                  <c:v>48349011</c:v>
                </c:pt>
                <c:pt idx="64">
                  <c:v>48383800</c:v>
                </c:pt>
                <c:pt idx="65">
                  <c:v>48413317</c:v>
                </c:pt>
                <c:pt idx="66">
                  <c:v>48432915</c:v>
                </c:pt>
                <c:pt idx="67">
                  <c:v>48436722</c:v>
                </c:pt>
                <c:pt idx="68">
                  <c:v>48487485</c:v>
                </c:pt>
                <c:pt idx="69">
                  <c:v>48528689</c:v>
                </c:pt>
                <c:pt idx="70">
                  <c:v>48561396</c:v>
                </c:pt>
                <c:pt idx="71">
                  <c:v>48592384</c:v>
                </c:pt>
                <c:pt idx="72">
                  <c:v>48618981</c:v>
                </c:pt>
                <c:pt idx="73">
                  <c:v>48637167</c:v>
                </c:pt>
                <c:pt idx="74">
                  <c:v>48640936</c:v>
                </c:pt>
                <c:pt idx="75">
                  <c:v>48704979</c:v>
                </c:pt>
                <c:pt idx="76">
                  <c:v>48754911</c:v>
                </c:pt>
                <c:pt idx="77">
                  <c:v>48797792</c:v>
                </c:pt>
                <c:pt idx="78">
                  <c:v>48831423</c:v>
                </c:pt>
                <c:pt idx="79">
                  <c:v>48861523</c:v>
                </c:pt>
                <c:pt idx="80">
                  <c:v>48879651</c:v>
                </c:pt>
                <c:pt idx="81">
                  <c:v>48883801</c:v>
                </c:pt>
                <c:pt idx="82">
                  <c:v>48940524</c:v>
                </c:pt>
                <c:pt idx="83">
                  <c:v>48975112</c:v>
                </c:pt>
                <c:pt idx="84">
                  <c:v>49006107</c:v>
                </c:pt>
                <c:pt idx="85">
                  <c:v>49032705</c:v>
                </c:pt>
                <c:pt idx="86">
                  <c:v>49054475</c:v>
                </c:pt>
                <c:pt idx="87">
                  <c:v>49069260</c:v>
                </c:pt>
                <c:pt idx="88">
                  <c:v>49072744</c:v>
                </c:pt>
                <c:pt idx="89">
                  <c:v>49107480</c:v>
                </c:pt>
                <c:pt idx="90">
                  <c:v>49129395</c:v>
                </c:pt>
                <c:pt idx="91">
                  <c:v>49144993</c:v>
                </c:pt>
                <c:pt idx="92">
                  <c:v>49286839</c:v>
                </c:pt>
                <c:pt idx="93">
                  <c:v>49317513</c:v>
                </c:pt>
                <c:pt idx="94">
                  <c:v>49334870</c:v>
                </c:pt>
                <c:pt idx="95">
                  <c:v>49338327</c:v>
                </c:pt>
                <c:pt idx="96">
                  <c:v>49386484</c:v>
                </c:pt>
                <c:pt idx="97">
                  <c:v>49419454</c:v>
                </c:pt>
                <c:pt idx="98">
                  <c:v>49449084</c:v>
                </c:pt>
                <c:pt idx="99">
                  <c:v>49476657</c:v>
                </c:pt>
                <c:pt idx="100">
                  <c:v>49499305</c:v>
                </c:pt>
                <c:pt idx="101">
                  <c:v>49513646</c:v>
                </c:pt>
                <c:pt idx="102">
                  <c:v>49516938</c:v>
                </c:pt>
                <c:pt idx="103">
                  <c:v>49557071</c:v>
                </c:pt>
                <c:pt idx="104">
                  <c:v>49585594</c:v>
                </c:pt>
                <c:pt idx="105">
                  <c:v>49610828</c:v>
                </c:pt>
                <c:pt idx="106">
                  <c:v>49636438</c:v>
                </c:pt>
                <c:pt idx="107">
                  <c:v>49660019</c:v>
                </c:pt>
                <c:pt idx="108">
                  <c:v>49674555</c:v>
                </c:pt>
                <c:pt idx="109">
                  <c:v>49678090</c:v>
                </c:pt>
                <c:pt idx="110">
                  <c:v>49719144</c:v>
                </c:pt>
                <c:pt idx="111">
                  <c:v>49747227</c:v>
                </c:pt>
                <c:pt idx="112">
                  <c:v>49772213</c:v>
                </c:pt>
                <c:pt idx="113">
                  <c:v>49793924</c:v>
                </c:pt>
                <c:pt idx="114">
                  <c:v>49812634</c:v>
                </c:pt>
                <c:pt idx="115">
                  <c:v>49825631</c:v>
                </c:pt>
                <c:pt idx="116">
                  <c:v>49829093</c:v>
                </c:pt>
                <c:pt idx="117">
                  <c:v>49858887</c:v>
                </c:pt>
                <c:pt idx="118">
                  <c:v>49881255</c:v>
                </c:pt>
                <c:pt idx="119">
                  <c:v>49899189</c:v>
                </c:pt>
                <c:pt idx="120">
                  <c:v>49914632</c:v>
                </c:pt>
                <c:pt idx="121">
                  <c:v>49927142</c:v>
                </c:pt>
                <c:pt idx="122">
                  <c:v>49936347</c:v>
                </c:pt>
                <c:pt idx="123">
                  <c:v>49981277</c:v>
                </c:pt>
                <c:pt idx="124">
                  <c:v>50056969</c:v>
                </c:pt>
                <c:pt idx="125">
                  <c:v>50093837</c:v>
                </c:pt>
                <c:pt idx="126">
                  <c:v>50124519</c:v>
                </c:pt>
                <c:pt idx="127">
                  <c:v>50150457</c:v>
                </c:pt>
                <c:pt idx="128">
                  <c:v>50172021</c:v>
                </c:pt>
                <c:pt idx="129">
                  <c:v>50185313</c:v>
                </c:pt>
                <c:pt idx="130">
                  <c:v>50188480</c:v>
                </c:pt>
                <c:pt idx="131">
                  <c:v>50224605</c:v>
                </c:pt>
                <c:pt idx="132">
                  <c:v>50252111</c:v>
                </c:pt>
                <c:pt idx="133">
                  <c:v>50277051</c:v>
                </c:pt>
                <c:pt idx="134">
                  <c:v>50297829</c:v>
                </c:pt>
                <c:pt idx="135">
                  <c:v>50315658</c:v>
                </c:pt>
                <c:pt idx="136">
                  <c:v>50327643</c:v>
                </c:pt>
                <c:pt idx="137">
                  <c:v>50331133</c:v>
                </c:pt>
                <c:pt idx="138">
                  <c:v>50369503</c:v>
                </c:pt>
                <c:pt idx="139">
                  <c:v>50395103</c:v>
                </c:pt>
                <c:pt idx="140">
                  <c:v>50418342</c:v>
                </c:pt>
                <c:pt idx="141">
                  <c:v>50438930</c:v>
                </c:pt>
                <c:pt idx="142">
                  <c:v>50457320</c:v>
                </c:pt>
                <c:pt idx="143">
                  <c:v>50469521</c:v>
                </c:pt>
                <c:pt idx="144">
                  <c:v>50472359</c:v>
                </c:pt>
                <c:pt idx="145">
                  <c:v>50504575</c:v>
                </c:pt>
                <c:pt idx="146">
                  <c:v>50527584</c:v>
                </c:pt>
                <c:pt idx="147">
                  <c:v>50549363</c:v>
                </c:pt>
                <c:pt idx="148">
                  <c:v>50571803</c:v>
                </c:pt>
                <c:pt idx="149">
                  <c:v>50592736</c:v>
                </c:pt>
                <c:pt idx="150">
                  <c:v>50604447</c:v>
                </c:pt>
                <c:pt idx="151">
                  <c:v>50607438</c:v>
                </c:pt>
                <c:pt idx="152">
                  <c:v>50626708</c:v>
                </c:pt>
                <c:pt idx="153">
                  <c:v>50755257</c:v>
                </c:pt>
                <c:pt idx="154">
                  <c:v>50787018</c:v>
                </c:pt>
                <c:pt idx="155">
                  <c:v>50815117</c:v>
                </c:pt>
                <c:pt idx="156">
                  <c:v>50840290</c:v>
                </c:pt>
                <c:pt idx="157">
                  <c:v>50859300</c:v>
                </c:pt>
                <c:pt idx="158">
                  <c:v>50862872</c:v>
                </c:pt>
                <c:pt idx="159">
                  <c:v>50880020</c:v>
                </c:pt>
                <c:pt idx="160">
                  <c:v>50886202</c:v>
                </c:pt>
                <c:pt idx="161">
                  <c:v>50913795</c:v>
                </c:pt>
                <c:pt idx="162">
                  <c:v>50939521</c:v>
                </c:pt>
                <c:pt idx="163">
                  <c:v>50961019</c:v>
                </c:pt>
                <c:pt idx="164">
                  <c:v>50974887</c:v>
                </c:pt>
                <c:pt idx="165">
                  <c:v>50977956</c:v>
                </c:pt>
                <c:pt idx="166">
                  <c:v>51010927</c:v>
                </c:pt>
                <c:pt idx="167">
                  <c:v>51036895</c:v>
                </c:pt>
                <c:pt idx="168">
                  <c:v>51065013</c:v>
                </c:pt>
                <c:pt idx="169">
                  <c:v>51088343</c:v>
                </c:pt>
                <c:pt idx="170">
                  <c:v>51111353</c:v>
                </c:pt>
                <c:pt idx="171">
                  <c:v>51127555</c:v>
                </c:pt>
                <c:pt idx="172">
                  <c:v>51131994</c:v>
                </c:pt>
                <c:pt idx="173">
                  <c:v>51169178</c:v>
                </c:pt>
                <c:pt idx="174">
                  <c:v>51194152</c:v>
                </c:pt>
                <c:pt idx="175">
                  <c:v>51216880</c:v>
                </c:pt>
                <c:pt idx="176">
                  <c:v>51231647</c:v>
                </c:pt>
                <c:pt idx="177">
                  <c:v>51235710</c:v>
                </c:pt>
                <c:pt idx="178">
                  <c:v>51240322</c:v>
                </c:pt>
                <c:pt idx="179">
                  <c:v>51244121</c:v>
                </c:pt>
                <c:pt idx="180">
                  <c:v>51284949</c:v>
                </c:pt>
                <c:pt idx="181">
                  <c:v>51314969</c:v>
                </c:pt>
                <c:pt idx="182">
                  <c:v>51356343</c:v>
                </c:pt>
                <c:pt idx="183">
                  <c:v>51398140</c:v>
                </c:pt>
                <c:pt idx="184">
                  <c:v>51497083</c:v>
                </c:pt>
                <c:pt idx="185">
                  <c:v>51567438</c:v>
                </c:pt>
                <c:pt idx="186">
                  <c:v>51570240</c:v>
                </c:pt>
                <c:pt idx="187">
                  <c:v>51619426</c:v>
                </c:pt>
                <c:pt idx="188">
                  <c:v>51649524</c:v>
                </c:pt>
                <c:pt idx="189">
                  <c:v>51658386</c:v>
                </c:pt>
                <c:pt idx="190">
                  <c:v>51719087</c:v>
                </c:pt>
                <c:pt idx="191">
                  <c:v>51747893</c:v>
                </c:pt>
                <c:pt idx="192">
                  <c:v>51763347</c:v>
                </c:pt>
                <c:pt idx="193">
                  <c:v>51766278</c:v>
                </c:pt>
                <c:pt idx="194">
                  <c:v>51827592</c:v>
                </c:pt>
                <c:pt idx="195">
                  <c:v>51863741</c:v>
                </c:pt>
                <c:pt idx="196">
                  <c:v>51892164</c:v>
                </c:pt>
                <c:pt idx="197">
                  <c:v>51916995</c:v>
                </c:pt>
                <c:pt idx="198">
                  <c:v>51938537</c:v>
                </c:pt>
                <c:pt idx="199">
                  <c:v>51952009</c:v>
                </c:pt>
                <c:pt idx="200">
                  <c:v>51954468</c:v>
                </c:pt>
                <c:pt idx="201">
                  <c:v>51994355</c:v>
                </c:pt>
                <c:pt idx="202">
                  <c:v>52018508</c:v>
                </c:pt>
                <c:pt idx="203">
                  <c:v>52040131</c:v>
                </c:pt>
                <c:pt idx="204">
                  <c:v>52060271</c:v>
                </c:pt>
                <c:pt idx="205">
                  <c:v>52076613</c:v>
                </c:pt>
                <c:pt idx="206">
                  <c:v>52086220</c:v>
                </c:pt>
                <c:pt idx="207">
                  <c:v>52088576</c:v>
                </c:pt>
                <c:pt idx="208">
                  <c:v>52115708</c:v>
                </c:pt>
                <c:pt idx="209">
                  <c:v>52135371</c:v>
                </c:pt>
                <c:pt idx="210">
                  <c:v>52151362</c:v>
                </c:pt>
                <c:pt idx="211">
                  <c:v>52165645</c:v>
                </c:pt>
                <c:pt idx="212">
                  <c:v>52177134</c:v>
                </c:pt>
                <c:pt idx="213">
                  <c:v>52184061</c:v>
                </c:pt>
                <c:pt idx="214">
                  <c:v>52186363</c:v>
                </c:pt>
                <c:pt idx="215">
                  <c:v>52288412</c:v>
                </c:pt>
                <c:pt idx="216">
                  <c:v>52314724</c:v>
                </c:pt>
                <c:pt idx="217">
                  <c:v>52342597</c:v>
                </c:pt>
                <c:pt idx="218">
                  <c:v>52363170</c:v>
                </c:pt>
                <c:pt idx="219">
                  <c:v>52379975</c:v>
                </c:pt>
                <c:pt idx="220">
                  <c:v>52391805</c:v>
                </c:pt>
                <c:pt idx="221">
                  <c:v>52394882</c:v>
                </c:pt>
                <c:pt idx="222">
                  <c:v>52423440</c:v>
                </c:pt>
                <c:pt idx="223">
                  <c:v>52444073</c:v>
                </c:pt>
                <c:pt idx="224">
                  <c:v>52463741</c:v>
                </c:pt>
                <c:pt idx="225">
                  <c:v>52482478</c:v>
                </c:pt>
                <c:pt idx="226">
                  <c:v>52497767</c:v>
                </c:pt>
                <c:pt idx="227">
                  <c:v>52507683</c:v>
                </c:pt>
                <c:pt idx="228">
                  <c:v>52510950</c:v>
                </c:pt>
                <c:pt idx="229">
                  <c:v>52541980</c:v>
                </c:pt>
                <c:pt idx="230">
                  <c:v>52564791</c:v>
                </c:pt>
                <c:pt idx="231">
                  <c:v>52582783</c:v>
                </c:pt>
                <c:pt idx="232">
                  <c:v>52600225</c:v>
                </c:pt>
                <c:pt idx="233">
                  <c:v>52613737</c:v>
                </c:pt>
                <c:pt idx="234">
                  <c:v>52623289</c:v>
                </c:pt>
                <c:pt idx="235">
                  <c:v>52626140</c:v>
                </c:pt>
                <c:pt idx="236">
                  <c:v>52652499</c:v>
                </c:pt>
                <c:pt idx="237">
                  <c:v>52671210</c:v>
                </c:pt>
                <c:pt idx="238">
                  <c:v>52686805</c:v>
                </c:pt>
                <c:pt idx="239">
                  <c:v>52701069</c:v>
                </c:pt>
                <c:pt idx="240">
                  <c:v>52712714</c:v>
                </c:pt>
                <c:pt idx="241">
                  <c:v>52720409</c:v>
                </c:pt>
                <c:pt idx="242">
                  <c:v>52722874</c:v>
                </c:pt>
                <c:pt idx="243">
                  <c:v>52736923</c:v>
                </c:pt>
                <c:pt idx="244">
                  <c:v>52840651</c:v>
                </c:pt>
                <c:pt idx="245">
                  <c:v>52867346</c:v>
                </c:pt>
                <c:pt idx="246">
                  <c:v>52889409</c:v>
                </c:pt>
                <c:pt idx="247">
                  <c:v>52907114</c:v>
                </c:pt>
                <c:pt idx="248">
                  <c:v>52918437</c:v>
                </c:pt>
                <c:pt idx="249">
                  <c:v>52921405</c:v>
                </c:pt>
                <c:pt idx="250">
                  <c:v>52952460</c:v>
                </c:pt>
                <c:pt idx="251">
                  <c:v>52975698</c:v>
                </c:pt>
                <c:pt idx="252">
                  <c:v>52995694</c:v>
                </c:pt>
                <c:pt idx="253">
                  <c:v>53014879</c:v>
                </c:pt>
                <c:pt idx="254">
                  <c:v>53031542</c:v>
                </c:pt>
                <c:pt idx="255">
                  <c:v>53042606</c:v>
                </c:pt>
                <c:pt idx="256">
                  <c:v>53045654</c:v>
                </c:pt>
                <c:pt idx="257">
                  <c:v>53078436</c:v>
                </c:pt>
                <c:pt idx="258">
                  <c:v>53102547</c:v>
                </c:pt>
                <c:pt idx="259">
                  <c:v>53125066</c:v>
                </c:pt>
                <c:pt idx="260">
                  <c:v>53144329</c:v>
                </c:pt>
                <c:pt idx="261">
                  <c:v>53162558</c:v>
                </c:pt>
                <c:pt idx="262">
                  <c:v>53175896</c:v>
                </c:pt>
                <c:pt idx="263">
                  <c:v>53179708</c:v>
                </c:pt>
                <c:pt idx="264">
                  <c:v>53209398</c:v>
                </c:pt>
                <c:pt idx="265">
                  <c:v>53229505</c:v>
                </c:pt>
                <c:pt idx="266">
                  <c:v>53246651</c:v>
                </c:pt>
                <c:pt idx="267">
                  <c:v>53263678</c:v>
                </c:pt>
                <c:pt idx="268">
                  <c:v>53278239</c:v>
                </c:pt>
                <c:pt idx="269">
                  <c:v>53288738</c:v>
                </c:pt>
                <c:pt idx="270">
                  <c:v>53293402</c:v>
                </c:pt>
                <c:pt idx="271">
                  <c:v>53296382</c:v>
                </c:pt>
                <c:pt idx="272">
                  <c:v>53308871</c:v>
                </c:pt>
                <c:pt idx="273">
                  <c:v>53327818</c:v>
                </c:pt>
                <c:pt idx="274">
                  <c:v>53340707</c:v>
                </c:pt>
                <c:pt idx="275">
                  <c:v>53458072</c:v>
                </c:pt>
                <c:pt idx="276">
                  <c:v>53476925</c:v>
                </c:pt>
                <c:pt idx="277">
                  <c:v>53480304</c:v>
                </c:pt>
                <c:pt idx="278">
                  <c:v>53527872</c:v>
                </c:pt>
                <c:pt idx="279">
                  <c:v>53559349</c:v>
                </c:pt>
                <c:pt idx="280">
                  <c:v>53584852</c:v>
                </c:pt>
                <c:pt idx="281">
                  <c:v>53607620</c:v>
                </c:pt>
                <c:pt idx="282">
                  <c:v>53626869</c:v>
                </c:pt>
                <c:pt idx="283">
                  <c:v>53640726</c:v>
                </c:pt>
                <c:pt idx="284">
                  <c:v>53644698</c:v>
                </c:pt>
                <c:pt idx="285">
                  <c:v>53681195</c:v>
                </c:pt>
                <c:pt idx="286">
                  <c:v>53707005</c:v>
                </c:pt>
                <c:pt idx="287">
                  <c:v>53729507</c:v>
                </c:pt>
                <c:pt idx="288">
                  <c:v>53750828</c:v>
                </c:pt>
                <c:pt idx="289">
                  <c:v>53772688</c:v>
                </c:pt>
                <c:pt idx="290">
                  <c:v>53789277</c:v>
                </c:pt>
                <c:pt idx="291">
                  <c:v>53793613</c:v>
                </c:pt>
                <c:pt idx="292">
                  <c:v>53831839</c:v>
                </c:pt>
                <c:pt idx="293">
                  <c:v>53859321</c:v>
                </c:pt>
                <c:pt idx="294">
                  <c:v>53882229</c:v>
                </c:pt>
                <c:pt idx="295">
                  <c:v>53905863</c:v>
                </c:pt>
                <c:pt idx="296">
                  <c:v>53926760</c:v>
                </c:pt>
                <c:pt idx="297">
                  <c:v>53943731</c:v>
                </c:pt>
                <c:pt idx="298">
                  <c:v>53948031</c:v>
                </c:pt>
                <c:pt idx="299">
                  <c:v>53952946</c:v>
                </c:pt>
                <c:pt idx="300">
                  <c:v>53975994</c:v>
                </c:pt>
                <c:pt idx="301">
                  <c:v>53997192</c:v>
                </c:pt>
                <c:pt idx="302">
                  <c:v>54013426</c:v>
                </c:pt>
                <c:pt idx="303">
                  <c:v>54026932</c:v>
                </c:pt>
                <c:pt idx="304">
                  <c:v>54036577</c:v>
                </c:pt>
                <c:pt idx="305">
                  <c:v>54088856</c:v>
                </c:pt>
                <c:pt idx="306">
                  <c:v>54171858</c:v>
                </c:pt>
                <c:pt idx="307">
                  <c:v>54206408</c:v>
                </c:pt>
                <c:pt idx="308">
                  <c:v>54233459</c:v>
                </c:pt>
                <c:pt idx="309">
                  <c:v>54259035</c:v>
                </c:pt>
                <c:pt idx="310">
                  <c:v>54280969</c:v>
                </c:pt>
                <c:pt idx="311">
                  <c:v>54298058</c:v>
                </c:pt>
                <c:pt idx="312">
                  <c:v>54303050</c:v>
                </c:pt>
                <c:pt idx="313">
                  <c:v>54338484</c:v>
                </c:pt>
                <c:pt idx="314">
                  <c:v>54365742</c:v>
                </c:pt>
                <c:pt idx="315">
                  <c:v>54388643</c:v>
                </c:pt>
                <c:pt idx="316">
                  <c:v>54409281</c:v>
                </c:pt>
                <c:pt idx="317">
                  <c:v>54428451</c:v>
                </c:pt>
                <c:pt idx="318">
                  <c:v>54445019</c:v>
                </c:pt>
                <c:pt idx="319">
                  <c:v>54451159</c:v>
                </c:pt>
                <c:pt idx="320">
                  <c:v>54490325</c:v>
                </c:pt>
                <c:pt idx="321">
                  <c:v>54516138</c:v>
                </c:pt>
                <c:pt idx="322">
                  <c:v>54541057</c:v>
                </c:pt>
                <c:pt idx="323">
                  <c:v>54561341</c:v>
                </c:pt>
                <c:pt idx="324">
                  <c:v>54580568</c:v>
                </c:pt>
                <c:pt idx="325">
                  <c:v>54596054</c:v>
                </c:pt>
                <c:pt idx="326">
                  <c:v>54600730</c:v>
                </c:pt>
                <c:pt idx="327">
                  <c:v>54631174</c:v>
                </c:pt>
                <c:pt idx="328">
                  <c:v>54653877</c:v>
                </c:pt>
                <c:pt idx="329">
                  <c:v>54674378</c:v>
                </c:pt>
                <c:pt idx="330">
                  <c:v>54693629</c:v>
                </c:pt>
                <c:pt idx="331">
                  <c:v>54711288</c:v>
                </c:pt>
                <c:pt idx="332">
                  <c:v>54728552</c:v>
                </c:pt>
                <c:pt idx="333">
                  <c:v>54733620</c:v>
                </c:pt>
                <c:pt idx="334">
                  <c:v>54751407</c:v>
                </c:pt>
                <c:pt idx="335">
                  <c:v>54764053</c:v>
                </c:pt>
                <c:pt idx="336">
                  <c:v>54905952</c:v>
                </c:pt>
                <c:pt idx="337">
                  <c:v>54928401</c:v>
                </c:pt>
                <c:pt idx="338">
                  <c:v>54949168</c:v>
                </c:pt>
                <c:pt idx="339">
                  <c:v>54967534</c:v>
                </c:pt>
                <c:pt idx="340">
                  <c:v>54972131</c:v>
                </c:pt>
                <c:pt idx="341">
                  <c:v>55017571</c:v>
                </c:pt>
                <c:pt idx="342">
                  <c:v>55050319</c:v>
                </c:pt>
                <c:pt idx="343">
                  <c:v>55077377</c:v>
                </c:pt>
                <c:pt idx="344">
                  <c:v>55103562</c:v>
                </c:pt>
                <c:pt idx="345">
                  <c:v>55131109</c:v>
                </c:pt>
                <c:pt idx="346">
                  <c:v>55154463</c:v>
                </c:pt>
                <c:pt idx="347">
                  <c:v>55159728</c:v>
                </c:pt>
                <c:pt idx="348">
                  <c:v>55197603</c:v>
                </c:pt>
                <c:pt idx="349">
                  <c:v>55224810</c:v>
                </c:pt>
                <c:pt idx="350">
                  <c:v>55258501</c:v>
                </c:pt>
                <c:pt idx="351">
                  <c:v>55288815</c:v>
                </c:pt>
                <c:pt idx="352">
                  <c:v>55312062</c:v>
                </c:pt>
                <c:pt idx="353">
                  <c:v>55333777</c:v>
                </c:pt>
                <c:pt idx="354">
                  <c:v>55338355</c:v>
                </c:pt>
                <c:pt idx="355">
                  <c:v>55374303</c:v>
                </c:pt>
                <c:pt idx="356">
                  <c:v>55400118</c:v>
                </c:pt>
                <c:pt idx="357">
                  <c:v>55422574</c:v>
                </c:pt>
                <c:pt idx="358">
                  <c:v>55443854</c:v>
                </c:pt>
                <c:pt idx="359">
                  <c:v>55462473</c:v>
                </c:pt>
                <c:pt idx="360">
                  <c:v>55479188</c:v>
                </c:pt>
                <c:pt idx="361">
                  <c:v>55483051</c:v>
                </c:pt>
                <c:pt idx="362">
                  <c:v>55506561</c:v>
                </c:pt>
                <c:pt idx="363">
                  <c:v>55525033</c:v>
                </c:pt>
                <c:pt idx="364">
                  <c:v>55539404</c:v>
                </c:pt>
                <c:pt idx="365">
                  <c:v>55550660</c:v>
                </c:pt>
                <c:pt idx="366">
                  <c:v>55719348</c:v>
                </c:pt>
                <c:pt idx="367">
                  <c:v>55744975</c:v>
                </c:pt>
                <c:pt idx="368">
                  <c:v>55749311</c:v>
                </c:pt>
                <c:pt idx="369">
                  <c:v>55792207</c:v>
                </c:pt>
                <c:pt idx="370">
                  <c:v>55824101</c:v>
                </c:pt>
                <c:pt idx="371">
                  <c:v>55850162</c:v>
                </c:pt>
                <c:pt idx="372">
                  <c:v>55873936</c:v>
                </c:pt>
                <c:pt idx="373">
                  <c:v>55896288</c:v>
                </c:pt>
                <c:pt idx="374">
                  <c:v>55914566</c:v>
                </c:pt>
                <c:pt idx="375">
                  <c:v>55918470</c:v>
                </c:pt>
                <c:pt idx="376">
                  <c:v>55949927</c:v>
                </c:pt>
                <c:pt idx="377">
                  <c:v>55976060</c:v>
                </c:pt>
                <c:pt idx="378">
                  <c:v>55999294</c:v>
                </c:pt>
                <c:pt idx="379">
                  <c:v>56020081</c:v>
                </c:pt>
                <c:pt idx="380">
                  <c:v>56041446</c:v>
                </c:pt>
                <c:pt idx="381">
                  <c:v>56059105</c:v>
                </c:pt>
                <c:pt idx="382">
                  <c:v>56062501</c:v>
                </c:pt>
                <c:pt idx="383">
                  <c:v>56095358</c:v>
                </c:pt>
                <c:pt idx="384">
                  <c:v>56118970</c:v>
                </c:pt>
                <c:pt idx="385">
                  <c:v>56141319</c:v>
                </c:pt>
                <c:pt idx="386">
                  <c:v>56161379</c:v>
                </c:pt>
                <c:pt idx="387">
                  <c:v>56178575</c:v>
                </c:pt>
                <c:pt idx="388">
                  <c:v>56192268</c:v>
                </c:pt>
                <c:pt idx="389">
                  <c:v>56195425</c:v>
                </c:pt>
                <c:pt idx="390">
                  <c:v>56217679</c:v>
                </c:pt>
                <c:pt idx="391">
                  <c:v>56235060</c:v>
                </c:pt>
                <c:pt idx="392">
                  <c:v>56250148</c:v>
                </c:pt>
                <c:pt idx="393">
                  <c:v>56263341</c:v>
                </c:pt>
                <c:pt idx="394">
                  <c:v>56275297</c:v>
                </c:pt>
                <c:pt idx="395">
                  <c:v>56285109</c:v>
                </c:pt>
                <c:pt idx="396">
                  <c:v>56287557</c:v>
                </c:pt>
                <c:pt idx="397">
                  <c:v>56375420</c:v>
                </c:pt>
                <c:pt idx="398">
                  <c:v>56403981</c:v>
                </c:pt>
                <c:pt idx="399">
                  <c:v>56426599</c:v>
                </c:pt>
                <c:pt idx="400">
                  <c:v>56447624</c:v>
                </c:pt>
                <c:pt idx="401">
                  <c:v>56466144</c:v>
                </c:pt>
                <c:pt idx="402">
                  <c:v>56481371</c:v>
                </c:pt>
                <c:pt idx="403">
                  <c:v>56484467</c:v>
                </c:pt>
                <c:pt idx="404">
                  <c:v>56507229</c:v>
                </c:pt>
                <c:pt idx="405">
                  <c:v>56523040</c:v>
                </c:pt>
                <c:pt idx="406">
                  <c:v>56538044</c:v>
                </c:pt>
                <c:pt idx="407">
                  <c:v>56550756</c:v>
                </c:pt>
                <c:pt idx="408">
                  <c:v>56561943</c:v>
                </c:pt>
                <c:pt idx="409">
                  <c:v>56570755</c:v>
                </c:pt>
                <c:pt idx="410">
                  <c:v>56573225</c:v>
                </c:pt>
                <c:pt idx="411">
                  <c:v>56576437</c:v>
                </c:pt>
                <c:pt idx="412">
                  <c:v>56591345</c:v>
                </c:pt>
                <c:pt idx="413">
                  <c:v>56599630</c:v>
                </c:pt>
                <c:pt idx="414">
                  <c:v>56608040</c:v>
                </c:pt>
                <c:pt idx="415">
                  <c:v>56614429</c:v>
                </c:pt>
                <c:pt idx="416">
                  <c:v>56620836</c:v>
                </c:pt>
                <c:pt idx="417">
                  <c:v>56623081</c:v>
                </c:pt>
                <c:pt idx="418">
                  <c:v>56646296</c:v>
                </c:pt>
                <c:pt idx="419">
                  <c:v>56660015</c:v>
                </c:pt>
                <c:pt idx="420">
                  <c:v>56671653</c:v>
                </c:pt>
                <c:pt idx="421">
                  <c:v>56682875</c:v>
                </c:pt>
                <c:pt idx="422">
                  <c:v>56692552</c:v>
                </c:pt>
                <c:pt idx="423">
                  <c:v>56700695</c:v>
                </c:pt>
                <c:pt idx="424">
                  <c:v>56703189</c:v>
                </c:pt>
                <c:pt idx="425">
                  <c:v>56726662</c:v>
                </c:pt>
                <c:pt idx="426">
                  <c:v>56742649</c:v>
                </c:pt>
                <c:pt idx="427">
                  <c:v>56752926</c:v>
                </c:pt>
                <c:pt idx="428">
                  <c:v>56941907</c:v>
                </c:pt>
                <c:pt idx="429">
                  <c:v>56968051</c:v>
                </c:pt>
                <c:pt idx="430">
                  <c:v>56984635</c:v>
                </c:pt>
                <c:pt idx="431">
                  <c:v>56988036</c:v>
                </c:pt>
                <c:pt idx="432">
                  <c:v>57040252</c:v>
                </c:pt>
                <c:pt idx="433">
                  <c:v>57074866</c:v>
                </c:pt>
                <c:pt idx="434">
                  <c:v>57102811</c:v>
                </c:pt>
                <c:pt idx="435">
                  <c:v>57127957</c:v>
                </c:pt>
                <c:pt idx="436">
                  <c:v>57149361</c:v>
                </c:pt>
                <c:pt idx="437">
                  <c:v>57164587</c:v>
                </c:pt>
                <c:pt idx="438">
                  <c:v>57168190</c:v>
                </c:pt>
                <c:pt idx="439">
                  <c:v>57230121</c:v>
                </c:pt>
                <c:pt idx="440">
                  <c:v>57264924</c:v>
                </c:pt>
                <c:pt idx="441">
                  <c:v>57299446</c:v>
                </c:pt>
                <c:pt idx="442">
                  <c:v>57341230</c:v>
                </c:pt>
                <c:pt idx="443">
                  <c:v>57372286</c:v>
                </c:pt>
                <c:pt idx="444">
                  <c:v>57389117</c:v>
                </c:pt>
                <c:pt idx="445">
                  <c:v>57392815</c:v>
                </c:pt>
                <c:pt idx="446">
                  <c:v>57447942</c:v>
                </c:pt>
                <c:pt idx="447">
                  <c:v>57483295</c:v>
                </c:pt>
                <c:pt idx="448">
                  <c:v>57514677</c:v>
                </c:pt>
                <c:pt idx="449">
                  <c:v>57543075</c:v>
                </c:pt>
                <c:pt idx="450">
                  <c:v>57567690</c:v>
                </c:pt>
                <c:pt idx="451">
                  <c:v>57584033</c:v>
                </c:pt>
                <c:pt idx="452">
                  <c:v>57588026</c:v>
                </c:pt>
                <c:pt idx="453">
                  <c:v>57629315</c:v>
                </c:pt>
                <c:pt idx="454">
                  <c:v>57658220</c:v>
                </c:pt>
                <c:pt idx="455">
                  <c:v>57682110</c:v>
                </c:pt>
                <c:pt idx="456">
                  <c:v>57703161</c:v>
                </c:pt>
                <c:pt idx="457">
                  <c:v>57719448</c:v>
                </c:pt>
              </c:numCache>
            </c:numRef>
          </c:val>
          <c:smooth val="0"/>
          <c:extLst xmlns:c16r2="http://schemas.microsoft.com/office/drawing/2015/06/chart">
            <c:ext xmlns:c16="http://schemas.microsoft.com/office/drawing/2014/chart" uri="{C3380CC4-5D6E-409C-BE32-E72D297353CC}">
              <c16:uniqueId val="{00000000-6AA7-43A1-B0DE-513D905F46E1}"/>
            </c:ext>
          </c:extLst>
        </c:ser>
        <c:ser>
          <c:idx val="1"/>
          <c:order val="1"/>
          <c:tx>
            <c:strRef>
              <c:f>'Figura 4'!$G$1</c:f>
              <c:strCache>
                <c:ptCount val="1"/>
                <c:pt idx="0">
                  <c:v>Media trimestrale AGC</c:v>
                </c:pt>
              </c:strCache>
            </c:strRef>
          </c:tx>
          <c:spPr>
            <a:ln>
              <a:solidFill>
                <a:schemeClr val="bg1">
                  <a:lumMod val="65000"/>
                </a:schemeClr>
              </a:solidFill>
              <a:prstDash val="sysDash"/>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4'!$G$2:$G$460</c:f>
              <c:numCache>
                <c:formatCode>General</c:formatCode>
                <c:ptCount val="459"/>
                <c:pt idx="0">
                  <c:v>48003584.93</c:v>
                </c:pt>
                <c:pt idx="1">
                  <c:v>48003584.93</c:v>
                </c:pt>
                <c:pt idx="2">
                  <c:v>48003584.93</c:v>
                </c:pt>
                <c:pt idx="3">
                  <c:v>48003584.93</c:v>
                </c:pt>
                <c:pt idx="4">
                  <c:v>48003584.93</c:v>
                </c:pt>
                <c:pt idx="5">
                  <c:v>48003584.93</c:v>
                </c:pt>
                <c:pt idx="6">
                  <c:v>48003584.93</c:v>
                </c:pt>
                <c:pt idx="7">
                  <c:v>48003584.93</c:v>
                </c:pt>
                <c:pt idx="8">
                  <c:v>48003584.93</c:v>
                </c:pt>
                <c:pt idx="9">
                  <c:v>48003584.93</c:v>
                </c:pt>
                <c:pt idx="10">
                  <c:v>48003584.93</c:v>
                </c:pt>
                <c:pt idx="11">
                  <c:v>48003584.93</c:v>
                </c:pt>
                <c:pt idx="12">
                  <c:v>48003584.93</c:v>
                </c:pt>
                <c:pt idx="13">
                  <c:v>48003584.93</c:v>
                </c:pt>
                <c:pt idx="14">
                  <c:v>48003584.93</c:v>
                </c:pt>
                <c:pt idx="15">
                  <c:v>48003584.93</c:v>
                </c:pt>
                <c:pt idx="16">
                  <c:v>48003584.93</c:v>
                </c:pt>
                <c:pt idx="17">
                  <c:v>48003584.93</c:v>
                </c:pt>
                <c:pt idx="18">
                  <c:v>48003584.93</c:v>
                </c:pt>
                <c:pt idx="19">
                  <c:v>48003584.93</c:v>
                </c:pt>
                <c:pt idx="20">
                  <c:v>48003584.93</c:v>
                </c:pt>
                <c:pt idx="21">
                  <c:v>48003584.93</c:v>
                </c:pt>
                <c:pt idx="22">
                  <c:v>48003584.93</c:v>
                </c:pt>
                <c:pt idx="23">
                  <c:v>48003584.93</c:v>
                </c:pt>
                <c:pt idx="24">
                  <c:v>48003584.93</c:v>
                </c:pt>
                <c:pt idx="25">
                  <c:v>48003584.93</c:v>
                </c:pt>
                <c:pt idx="26">
                  <c:v>48003584.93</c:v>
                </c:pt>
                <c:pt idx="27">
                  <c:v>48003584.93</c:v>
                </c:pt>
                <c:pt idx="28">
                  <c:v>48003584.93</c:v>
                </c:pt>
                <c:pt idx="29">
                  <c:v>48003584.93</c:v>
                </c:pt>
                <c:pt idx="30">
                  <c:v>48003584.93</c:v>
                </c:pt>
                <c:pt idx="31">
                  <c:v>48003584.93</c:v>
                </c:pt>
                <c:pt idx="32">
                  <c:v>48003584.93</c:v>
                </c:pt>
                <c:pt idx="33">
                  <c:v>48003584.93</c:v>
                </c:pt>
                <c:pt idx="34">
                  <c:v>48003584.93</c:v>
                </c:pt>
                <c:pt idx="35">
                  <c:v>48003584.93</c:v>
                </c:pt>
                <c:pt idx="36">
                  <c:v>48003584.93</c:v>
                </c:pt>
                <c:pt idx="37">
                  <c:v>48003584.93</c:v>
                </c:pt>
                <c:pt idx="38">
                  <c:v>48003584.93</c:v>
                </c:pt>
                <c:pt idx="39">
                  <c:v>48003584.93</c:v>
                </c:pt>
                <c:pt idx="40">
                  <c:v>48003584.93</c:v>
                </c:pt>
                <c:pt idx="41">
                  <c:v>48003584.93</c:v>
                </c:pt>
                <c:pt idx="42">
                  <c:v>48003584.93</c:v>
                </c:pt>
                <c:pt idx="43">
                  <c:v>48003584.93</c:v>
                </c:pt>
                <c:pt idx="44">
                  <c:v>48003584.93</c:v>
                </c:pt>
                <c:pt idx="45">
                  <c:v>48003584.93</c:v>
                </c:pt>
                <c:pt idx="46">
                  <c:v>48003584.93</c:v>
                </c:pt>
                <c:pt idx="47">
                  <c:v>48003584.93</c:v>
                </c:pt>
                <c:pt idx="48">
                  <c:v>48003584.93</c:v>
                </c:pt>
                <c:pt idx="49">
                  <c:v>48003584.93</c:v>
                </c:pt>
                <c:pt idx="50">
                  <c:v>48003584.93</c:v>
                </c:pt>
                <c:pt idx="51">
                  <c:v>48003584.93</c:v>
                </c:pt>
                <c:pt idx="52">
                  <c:v>48003584.93</c:v>
                </c:pt>
                <c:pt idx="53">
                  <c:v>48003584.93</c:v>
                </c:pt>
                <c:pt idx="54">
                  <c:v>48003584.93</c:v>
                </c:pt>
                <c:pt idx="55">
                  <c:v>48003584.93</c:v>
                </c:pt>
                <c:pt idx="56">
                  <c:v>48003584.93</c:v>
                </c:pt>
                <c:pt idx="57">
                  <c:v>48003584.93</c:v>
                </c:pt>
                <c:pt idx="58">
                  <c:v>48003584.93</c:v>
                </c:pt>
                <c:pt idx="59">
                  <c:v>48003584.93</c:v>
                </c:pt>
                <c:pt idx="60">
                  <c:v>48003584.93</c:v>
                </c:pt>
                <c:pt idx="61">
                  <c:v>48003584.93</c:v>
                </c:pt>
                <c:pt idx="62">
                  <c:v>48003584.93</c:v>
                </c:pt>
                <c:pt idx="63">
                  <c:v>48003584.93</c:v>
                </c:pt>
                <c:pt idx="64">
                  <c:v>48003584.93</c:v>
                </c:pt>
                <c:pt idx="65">
                  <c:v>48003584.93</c:v>
                </c:pt>
                <c:pt idx="66">
                  <c:v>48003584.93</c:v>
                </c:pt>
                <c:pt idx="67">
                  <c:v>48003584.93</c:v>
                </c:pt>
                <c:pt idx="68">
                  <c:v>48003584.93</c:v>
                </c:pt>
                <c:pt idx="69">
                  <c:v>48003584.93</c:v>
                </c:pt>
                <c:pt idx="70">
                  <c:v>48003584.93</c:v>
                </c:pt>
                <c:pt idx="71">
                  <c:v>48003584.93</c:v>
                </c:pt>
                <c:pt idx="72">
                  <c:v>48003584.93</c:v>
                </c:pt>
                <c:pt idx="73">
                  <c:v>48003584.93</c:v>
                </c:pt>
                <c:pt idx="74">
                  <c:v>48003584.93</c:v>
                </c:pt>
                <c:pt idx="75">
                  <c:v>48003584.93</c:v>
                </c:pt>
                <c:pt idx="76">
                  <c:v>48003584.93</c:v>
                </c:pt>
                <c:pt idx="77">
                  <c:v>48003584.93</c:v>
                </c:pt>
                <c:pt idx="78">
                  <c:v>48003584.93</c:v>
                </c:pt>
                <c:pt idx="79">
                  <c:v>48003584.93</c:v>
                </c:pt>
                <c:pt idx="80">
                  <c:v>48003584.93</c:v>
                </c:pt>
                <c:pt idx="81">
                  <c:v>48003584.93</c:v>
                </c:pt>
                <c:pt idx="82">
                  <c:v>48003584.93</c:v>
                </c:pt>
                <c:pt idx="83">
                  <c:v>48003584.93</c:v>
                </c:pt>
                <c:pt idx="84">
                  <c:v>48003584.93</c:v>
                </c:pt>
                <c:pt idx="85">
                  <c:v>48003584.93</c:v>
                </c:pt>
                <c:pt idx="86">
                  <c:v>48003584.93</c:v>
                </c:pt>
                <c:pt idx="87">
                  <c:v>48003584.93</c:v>
                </c:pt>
                <c:pt idx="88">
                  <c:v>48003584.93</c:v>
                </c:pt>
                <c:pt idx="89">
                  <c:v>48003584.93</c:v>
                </c:pt>
                <c:pt idx="90">
                  <c:v>48003584.93</c:v>
                </c:pt>
                <c:pt idx="91">
                  <c:v>48003584.93</c:v>
                </c:pt>
                <c:pt idx="92">
                  <c:v>50351689.240000002</c:v>
                </c:pt>
                <c:pt idx="93">
                  <c:v>50351689.240000002</c:v>
                </c:pt>
                <c:pt idx="94">
                  <c:v>50351689.240000002</c:v>
                </c:pt>
                <c:pt idx="95">
                  <c:v>50351689.240000002</c:v>
                </c:pt>
                <c:pt idx="96">
                  <c:v>50351689.240000002</c:v>
                </c:pt>
                <c:pt idx="97">
                  <c:v>50351689.240000002</c:v>
                </c:pt>
                <c:pt idx="98">
                  <c:v>50351689.240000002</c:v>
                </c:pt>
                <c:pt idx="99">
                  <c:v>50351689.240000002</c:v>
                </c:pt>
                <c:pt idx="100">
                  <c:v>50351689.240000002</c:v>
                </c:pt>
                <c:pt idx="101">
                  <c:v>50351689.240000002</c:v>
                </c:pt>
                <c:pt idx="102">
                  <c:v>50351689.240000002</c:v>
                </c:pt>
                <c:pt idx="103">
                  <c:v>50351689.240000002</c:v>
                </c:pt>
                <c:pt idx="104">
                  <c:v>50351689.240000002</c:v>
                </c:pt>
                <c:pt idx="105">
                  <c:v>50351689.240000002</c:v>
                </c:pt>
                <c:pt idx="106">
                  <c:v>50351689.240000002</c:v>
                </c:pt>
                <c:pt idx="107">
                  <c:v>50351689.240000002</c:v>
                </c:pt>
                <c:pt idx="108">
                  <c:v>50351689.240000002</c:v>
                </c:pt>
                <c:pt idx="109">
                  <c:v>50351689.240000002</c:v>
                </c:pt>
                <c:pt idx="110">
                  <c:v>50351689.240000002</c:v>
                </c:pt>
                <c:pt idx="111">
                  <c:v>50351689.240000002</c:v>
                </c:pt>
                <c:pt idx="112">
                  <c:v>50351689.240000002</c:v>
                </c:pt>
                <c:pt idx="113">
                  <c:v>50351689.240000002</c:v>
                </c:pt>
                <c:pt idx="114">
                  <c:v>50351689.240000002</c:v>
                </c:pt>
                <c:pt idx="115">
                  <c:v>50351689.240000002</c:v>
                </c:pt>
                <c:pt idx="116">
                  <c:v>50351689.240000002</c:v>
                </c:pt>
                <c:pt idx="117">
                  <c:v>50351689.240000002</c:v>
                </c:pt>
                <c:pt idx="118">
                  <c:v>50351689.240000002</c:v>
                </c:pt>
                <c:pt idx="119">
                  <c:v>50351689.240000002</c:v>
                </c:pt>
                <c:pt idx="120">
                  <c:v>50351689.240000002</c:v>
                </c:pt>
                <c:pt idx="121">
                  <c:v>50351689.240000002</c:v>
                </c:pt>
                <c:pt idx="122">
                  <c:v>50351689.240000002</c:v>
                </c:pt>
                <c:pt idx="123">
                  <c:v>50351689.240000002</c:v>
                </c:pt>
                <c:pt idx="124">
                  <c:v>50351689.240000002</c:v>
                </c:pt>
                <c:pt idx="125">
                  <c:v>50351689.240000002</c:v>
                </c:pt>
                <c:pt idx="126">
                  <c:v>50351689.240000002</c:v>
                </c:pt>
                <c:pt idx="127">
                  <c:v>50351689.240000002</c:v>
                </c:pt>
                <c:pt idx="128">
                  <c:v>50351689.240000002</c:v>
                </c:pt>
                <c:pt idx="129">
                  <c:v>50351689.240000002</c:v>
                </c:pt>
                <c:pt idx="130">
                  <c:v>50351689.240000002</c:v>
                </c:pt>
                <c:pt idx="131">
                  <c:v>50351689.240000002</c:v>
                </c:pt>
                <c:pt idx="132">
                  <c:v>50351689.240000002</c:v>
                </c:pt>
                <c:pt idx="133">
                  <c:v>50351689.240000002</c:v>
                </c:pt>
                <c:pt idx="134">
                  <c:v>50351689.240000002</c:v>
                </c:pt>
                <c:pt idx="135">
                  <c:v>50351689.240000002</c:v>
                </c:pt>
                <c:pt idx="136">
                  <c:v>50351689.240000002</c:v>
                </c:pt>
                <c:pt idx="137">
                  <c:v>50351689.240000002</c:v>
                </c:pt>
                <c:pt idx="138">
                  <c:v>50351689.240000002</c:v>
                </c:pt>
                <c:pt idx="139">
                  <c:v>50351689.240000002</c:v>
                </c:pt>
                <c:pt idx="140">
                  <c:v>50351689.240000002</c:v>
                </c:pt>
                <c:pt idx="141">
                  <c:v>50351689.240000002</c:v>
                </c:pt>
                <c:pt idx="142">
                  <c:v>50351689.240000002</c:v>
                </c:pt>
                <c:pt idx="143">
                  <c:v>50351689.240000002</c:v>
                </c:pt>
                <c:pt idx="144">
                  <c:v>50351689.240000002</c:v>
                </c:pt>
                <c:pt idx="145">
                  <c:v>50351689.240000002</c:v>
                </c:pt>
                <c:pt idx="146">
                  <c:v>50351689.240000002</c:v>
                </c:pt>
                <c:pt idx="147">
                  <c:v>50351689.240000002</c:v>
                </c:pt>
                <c:pt idx="148">
                  <c:v>50351689.240000002</c:v>
                </c:pt>
                <c:pt idx="149">
                  <c:v>50351689.240000002</c:v>
                </c:pt>
                <c:pt idx="150">
                  <c:v>50351689.240000002</c:v>
                </c:pt>
                <c:pt idx="151">
                  <c:v>50351689.240000002</c:v>
                </c:pt>
                <c:pt idx="152">
                  <c:v>50351689.240000002</c:v>
                </c:pt>
                <c:pt idx="153">
                  <c:v>50351689.240000002</c:v>
                </c:pt>
                <c:pt idx="154">
                  <c:v>50351689.240000002</c:v>
                </c:pt>
                <c:pt idx="155">
                  <c:v>50351689.240000002</c:v>
                </c:pt>
                <c:pt idx="156">
                  <c:v>50351689.240000002</c:v>
                </c:pt>
                <c:pt idx="157">
                  <c:v>50351689.240000002</c:v>
                </c:pt>
                <c:pt idx="158">
                  <c:v>50351689.240000002</c:v>
                </c:pt>
                <c:pt idx="159">
                  <c:v>50351689.240000002</c:v>
                </c:pt>
                <c:pt idx="160">
                  <c:v>50351689.240000002</c:v>
                </c:pt>
                <c:pt idx="161">
                  <c:v>50351689.240000002</c:v>
                </c:pt>
                <c:pt idx="162">
                  <c:v>50351689.240000002</c:v>
                </c:pt>
                <c:pt idx="163">
                  <c:v>50351689.240000002</c:v>
                </c:pt>
                <c:pt idx="164">
                  <c:v>50351689.240000002</c:v>
                </c:pt>
                <c:pt idx="165">
                  <c:v>50351689.240000002</c:v>
                </c:pt>
                <c:pt idx="166">
                  <c:v>50351689.240000002</c:v>
                </c:pt>
                <c:pt idx="167">
                  <c:v>50351689.240000002</c:v>
                </c:pt>
                <c:pt idx="168">
                  <c:v>50351689.240000002</c:v>
                </c:pt>
                <c:pt idx="169">
                  <c:v>50351689.240000002</c:v>
                </c:pt>
                <c:pt idx="170">
                  <c:v>50351689.240000002</c:v>
                </c:pt>
                <c:pt idx="171">
                  <c:v>50351689.240000002</c:v>
                </c:pt>
                <c:pt idx="172">
                  <c:v>50351689.240000002</c:v>
                </c:pt>
                <c:pt idx="173">
                  <c:v>50351689.240000002</c:v>
                </c:pt>
                <c:pt idx="174">
                  <c:v>50351689.240000002</c:v>
                </c:pt>
                <c:pt idx="175">
                  <c:v>50351689.240000002</c:v>
                </c:pt>
                <c:pt idx="176">
                  <c:v>50351689.240000002</c:v>
                </c:pt>
                <c:pt idx="177">
                  <c:v>50351689.240000002</c:v>
                </c:pt>
                <c:pt idx="178">
                  <c:v>50351689.240000002</c:v>
                </c:pt>
                <c:pt idx="179">
                  <c:v>50351689.240000002</c:v>
                </c:pt>
                <c:pt idx="180">
                  <c:v>50351689.240000002</c:v>
                </c:pt>
                <c:pt idx="181">
                  <c:v>50351689.240000002</c:v>
                </c:pt>
                <c:pt idx="182">
                  <c:v>50351689.240000002</c:v>
                </c:pt>
                <c:pt idx="183">
                  <c:v>50351689.240000002</c:v>
                </c:pt>
                <c:pt idx="184">
                  <c:v>52520906.539999999</c:v>
                </c:pt>
                <c:pt idx="185">
                  <c:v>52520906.539999999</c:v>
                </c:pt>
                <c:pt idx="186">
                  <c:v>52520906.539999999</c:v>
                </c:pt>
                <c:pt idx="187">
                  <c:v>52520906.539999999</c:v>
                </c:pt>
                <c:pt idx="188">
                  <c:v>52520906.539999999</c:v>
                </c:pt>
                <c:pt idx="189">
                  <c:v>52520906.539999999</c:v>
                </c:pt>
                <c:pt idx="190">
                  <c:v>52520906.539999999</c:v>
                </c:pt>
                <c:pt idx="191">
                  <c:v>52520906.539999999</c:v>
                </c:pt>
                <c:pt idx="192">
                  <c:v>52520906.539999999</c:v>
                </c:pt>
                <c:pt idx="193">
                  <c:v>52520906.539999999</c:v>
                </c:pt>
                <c:pt idx="194">
                  <c:v>52520906.539999999</c:v>
                </c:pt>
                <c:pt idx="195">
                  <c:v>52520906.539999999</c:v>
                </c:pt>
                <c:pt idx="196">
                  <c:v>52520906.539999999</c:v>
                </c:pt>
                <c:pt idx="197">
                  <c:v>52520906.539999999</c:v>
                </c:pt>
                <c:pt idx="198">
                  <c:v>52520906.539999999</c:v>
                </c:pt>
                <c:pt idx="199">
                  <c:v>52520906.539999999</c:v>
                </c:pt>
                <c:pt idx="200">
                  <c:v>52520906.539999999</c:v>
                </c:pt>
                <c:pt idx="201">
                  <c:v>52520906.539999999</c:v>
                </c:pt>
                <c:pt idx="202">
                  <c:v>52520906.539999999</c:v>
                </c:pt>
                <c:pt idx="203">
                  <c:v>52520906.539999999</c:v>
                </c:pt>
                <c:pt idx="204">
                  <c:v>52520906.539999999</c:v>
                </c:pt>
                <c:pt idx="205">
                  <c:v>52520906.539999999</c:v>
                </c:pt>
                <c:pt idx="206">
                  <c:v>52520906.539999999</c:v>
                </c:pt>
                <c:pt idx="207">
                  <c:v>52520906.539999999</c:v>
                </c:pt>
                <c:pt idx="208">
                  <c:v>52520906.539999999</c:v>
                </c:pt>
                <c:pt idx="209">
                  <c:v>52520906.539999999</c:v>
                </c:pt>
                <c:pt idx="210">
                  <c:v>52520906.539999999</c:v>
                </c:pt>
                <c:pt idx="211">
                  <c:v>52520906.539999999</c:v>
                </c:pt>
                <c:pt idx="212">
                  <c:v>52520906.539999999</c:v>
                </c:pt>
                <c:pt idx="213">
                  <c:v>52520906.539999999</c:v>
                </c:pt>
                <c:pt idx="214">
                  <c:v>52520906.539999999</c:v>
                </c:pt>
                <c:pt idx="215">
                  <c:v>52520906.539999999</c:v>
                </c:pt>
                <c:pt idx="216">
                  <c:v>52520906.539999999</c:v>
                </c:pt>
                <c:pt idx="217">
                  <c:v>52520906.539999999</c:v>
                </c:pt>
                <c:pt idx="218">
                  <c:v>52520906.539999999</c:v>
                </c:pt>
                <c:pt idx="219">
                  <c:v>52520906.539999999</c:v>
                </c:pt>
                <c:pt idx="220">
                  <c:v>52520906.539999999</c:v>
                </c:pt>
                <c:pt idx="221">
                  <c:v>52520906.539999999</c:v>
                </c:pt>
                <c:pt idx="222">
                  <c:v>52520906.539999999</c:v>
                </c:pt>
                <c:pt idx="223">
                  <c:v>52520906.539999999</c:v>
                </c:pt>
                <c:pt idx="224">
                  <c:v>52520906.539999999</c:v>
                </c:pt>
                <c:pt idx="225">
                  <c:v>52520906.539999999</c:v>
                </c:pt>
                <c:pt idx="226">
                  <c:v>52520906.539999999</c:v>
                </c:pt>
                <c:pt idx="227">
                  <c:v>52520906.539999999</c:v>
                </c:pt>
                <c:pt idx="228">
                  <c:v>52520906.539999999</c:v>
                </c:pt>
                <c:pt idx="229">
                  <c:v>52520906.539999999</c:v>
                </c:pt>
                <c:pt idx="230">
                  <c:v>52520906.539999999</c:v>
                </c:pt>
                <c:pt idx="231">
                  <c:v>52520906.539999999</c:v>
                </c:pt>
                <c:pt idx="232">
                  <c:v>52520906.539999999</c:v>
                </c:pt>
                <c:pt idx="233">
                  <c:v>52520906.539999999</c:v>
                </c:pt>
                <c:pt idx="234">
                  <c:v>52520906.539999999</c:v>
                </c:pt>
                <c:pt idx="235">
                  <c:v>52520906.539999999</c:v>
                </c:pt>
                <c:pt idx="236">
                  <c:v>52520906.539999999</c:v>
                </c:pt>
                <c:pt idx="237">
                  <c:v>52520906.539999999</c:v>
                </c:pt>
                <c:pt idx="238">
                  <c:v>52520906.539999999</c:v>
                </c:pt>
                <c:pt idx="239">
                  <c:v>52520906.539999999</c:v>
                </c:pt>
                <c:pt idx="240">
                  <c:v>52520906.539999999</c:v>
                </c:pt>
                <c:pt idx="241">
                  <c:v>52520906.539999999</c:v>
                </c:pt>
                <c:pt idx="242">
                  <c:v>52520906.539999999</c:v>
                </c:pt>
                <c:pt idx="243">
                  <c:v>52520906.539999999</c:v>
                </c:pt>
                <c:pt idx="244">
                  <c:v>52520906.539999999</c:v>
                </c:pt>
                <c:pt idx="245">
                  <c:v>52520906.539999999</c:v>
                </c:pt>
                <c:pt idx="246">
                  <c:v>52520906.539999999</c:v>
                </c:pt>
                <c:pt idx="247">
                  <c:v>52520906.539999999</c:v>
                </c:pt>
                <c:pt idx="248">
                  <c:v>52520906.539999999</c:v>
                </c:pt>
                <c:pt idx="249">
                  <c:v>52520906.539999999</c:v>
                </c:pt>
                <c:pt idx="250">
                  <c:v>52520906.539999999</c:v>
                </c:pt>
                <c:pt idx="251">
                  <c:v>52520906.539999999</c:v>
                </c:pt>
                <c:pt idx="252">
                  <c:v>52520906.539999999</c:v>
                </c:pt>
                <c:pt idx="253">
                  <c:v>52520906.539999999</c:v>
                </c:pt>
                <c:pt idx="254">
                  <c:v>52520906.539999999</c:v>
                </c:pt>
                <c:pt idx="255">
                  <c:v>52520906.539999999</c:v>
                </c:pt>
                <c:pt idx="256">
                  <c:v>52520906.539999999</c:v>
                </c:pt>
                <c:pt idx="257">
                  <c:v>52520906.539999999</c:v>
                </c:pt>
                <c:pt idx="258">
                  <c:v>52520906.539999999</c:v>
                </c:pt>
                <c:pt idx="259">
                  <c:v>52520906.539999999</c:v>
                </c:pt>
                <c:pt idx="260">
                  <c:v>52520906.539999999</c:v>
                </c:pt>
                <c:pt idx="261">
                  <c:v>52520906.539999999</c:v>
                </c:pt>
                <c:pt idx="262">
                  <c:v>52520906.539999999</c:v>
                </c:pt>
                <c:pt idx="263">
                  <c:v>52520906.539999999</c:v>
                </c:pt>
                <c:pt idx="264">
                  <c:v>52520906.539999999</c:v>
                </c:pt>
                <c:pt idx="265">
                  <c:v>52520906.539999999</c:v>
                </c:pt>
                <c:pt idx="266">
                  <c:v>52520906.539999999</c:v>
                </c:pt>
                <c:pt idx="267">
                  <c:v>52520906.539999999</c:v>
                </c:pt>
                <c:pt idx="268">
                  <c:v>52520906.539999999</c:v>
                </c:pt>
                <c:pt idx="269">
                  <c:v>52520906.539999999</c:v>
                </c:pt>
                <c:pt idx="270">
                  <c:v>52520906.539999999</c:v>
                </c:pt>
                <c:pt idx="271">
                  <c:v>52520906.539999999</c:v>
                </c:pt>
                <c:pt idx="272">
                  <c:v>52520906.539999999</c:v>
                </c:pt>
                <c:pt idx="273">
                  <c:v>52520906.539999999</c:v>
                </c:pt>
                <c:pt idx="274">
                  <c:v>52520906.539999999</c:v>
                </c:pt>
                <c:pt idx="275">
                  <c:v>54500960.009999998</c:v>
                </c:pt>
                <c:pt idx="276">
                  <c:v>54500960.009999998</c:v>
                </c:pt>
                <c:pt idx="277">
                  <c:v>54500960.009999998</c:v>
                </c:pt>
                <c:pt idx="278">
                  <c:v>54500960.009999998</c:v>
                </c:pt>
                <c:pt idx="279">
                  <c:v>54500960.009999998</c:v>
                </c:pt>
                <c:pt idx="280">
                  <c:v>54500960.009999998</c:v>
                </c:pt>
                <c:pt idx="281">
                  <c:v>54500960.009999998</c:v>
                </c:pt>
                <c:pt idx="282">
                  <c:v>54500960.009999998</c:v>
                </c:pt>
                <c:pt idx="283">
                  <c:v>54500960.009999998</c:v>
                </c:pt>
                <c:pt idx="284">
                  <c:v>54500960.009999998</c:v>
                </c:pt>
                <c:pt idx="285">
                  <c:v>54500960.009999998</c:v>
                </c:pt>
                <c:pt idx="286">
                  <c:v>54500960.009999998</c:v>
                </c:pt>
                <c:pt idx="287">
                  <c:v>54500960.009999998</c:v>
                </c:pt>
                <c:pt idx="288">
                  <c:v>54500960.009999998</c:v>
                </c:pt>
                <c:pt idx="289">
                  <c:v>54500960.009999998</c:v>
                </c:pt>
                <c:pt idx="290">
                  <c:v>54500960.009999998</c:v>
                </c:pt>
                <c:pt idx="291">
                  <c:v>54500960.009999998</c:v>
                </c:pt>
                <c:pt idx="292">
                  <c:v>54500960.009999998</c:v>
                </c:pt>
                <c:pt idx="293">
                  <c:v>54500960.009999998</c:v>
                </c:pt>
                <c:pt idx="294">
                  <c:v>54500960.009999998</c:v>
                </c:pt>
                <c:pt idx="295">
                  <c:v>54500960.009999998</c:v>
                </c:pt>
                <c:pt idx="296">
                  <c:v>54500960.009999998</c:v>
                </c:pt>
                <c:pt idx="297">
                  <c:v>54500960.009999998</c:v>
                </c:pt>
                <c:pt idx="298">
                  <c:v>54500960.009999998</c:v>
                </c:pt>
                <c:pt idx="299">
                  <c:v>54500960.009999998</c:v>
                </c:pt>
                <c:pt idx="300">
                  <c:v>54500960.009999998</c:v>
                </c:pt>
                <c:pt idx="301">
                  <c:v>54500960.009999998</c:v>
                </c:pt>
                <c:pt idx="302">
                  <c:v>54500960.009999998</c:v>
                </c:pt>
                <c:pt idx="303">
                  <c:v>54500960.009999998</c:v>
                </c:pt>
                <c:pt idx="304">
                  <c:v>54500960.009999998</c:v>
                </c:pt>
                <c:pt idx="305">
                  <c:v>54500960.009999998</c:v>
                </c:pt>
                <c:pt idx="306">
                  <c:v>54500960.009999998</c:v>
                </c:pt>
                <c:pt idx="307">
                  <c:v>54500960.009999998</c:v>
                </c:pt>
                <c:pt idx="308">
                  <c:v>54500960.009999998</c:v>
                </c:pt>
                <c:pt idx="309">
                  <c:v>54500960.009999998</c:v>
                </c:pt>
                <c:pt idx="310">
                  <c:v>54500960.009999998</c:v>
                </c:pt>
                <c:pt idx="311">
                  <c:v>54500960.009999998</c:v>
                </c:pt>
                <c:pt idx="312">
                  <c:v>54500960.009999998</c:v>
                </c:pt>
                <c:pt idx="313">
                  <c:v>54500960.009999998</c:v>
                </c:pt>
                <c:pt idx="314">
                  <c:v>54500960.009999998</c:v>
                </c:pt>
                <c:pt idx="315">
                  <c:v>54500960.009999998</c:v>
                </c:pt>
                <c:pt idx="316">
                  <c:v>54500960.009999998</c:v>
                </c:pt>
                <c:pt idx="317">
                  <c:v>54500960.009999998</c:v>
                </c:pt>
                <c:pt idx="318">
                  <c:v>54500960.009999998</c:v>
                </c:pt>
                <c:pt idx="319">
                  <c:v>54500960.009999998</c:v>
                </c:pt>
                <c:pt idx="320">
                  <c:v>54500960.009999998</c:v>
                </c:pt>
                <c:pt idx="321">
                  <c:v>54500960.009999998</c:v>
                </c:pt>
                <c:pt idx="322">
                  <c:v>54500960.009999998</c:v>
                </c:pt>
                <c:pt idx="323">
                  <c:v>54500960.009999998</c:v>
                </c:pt>
                <c:pt idx="324">
                  <c:v>54500960.009999998</c:v>
                </c:pt>
                <c:pt idx="325">
                  <c:v>54500960.009999998</c:v>
                </c:pt>
                <c:pt idx="326">
                  <c:v>54500960.009999998</c:v>
                </c:pt>
                <c:pt idx="327">
                  <c:v>54500960.009999998</c:v>
                </c:pt>
                <c:pt idx="328">
                  <c:v>54500960.009999998</c:v>
                </c:pt>
                <c:pt idx="329">
                  <c:v>54500960.009999998</c:v>
                </c:pt>
                <c:pt idx="330">
                  <c:v>54500960.009999998</c:v>
                </c:pt>
                <c:pt idx="331">
                  <c:v>54500960.009999998</c:v>
                </c:pt>
                <c:pt idx="332">
                  <c:v>54500960.009999998</c:v>
                </c:pt>
                <c:pt idx="333">
                  <c:v>54500960.009999998</c:v>
                </c:pt>
                <c:pt idx="334">
                  <c:v>54500960.009999998</c:v>
                </c:pt>
                <c:pt idx="335">
                  <c:v>54500960.009999998</c:v>
                </c:pt>
                <c:pt idx="336">
                  <c:v>54500960.009999998</c:v>
                </c:pt>
                <c:pt idx="337">
                  <c:v>54500960.009999998</c:v>
                </c:pt>
                <c:pt idx="338">
                  <c:v>54500960.009999998</c:v>
                </c:pt>
                <c:pt idx="339">
                  <c:v>54500960.009999998</c:v>
                </c:pt>
                <c:pt idx="340">
                  <c:v>54500960.009999998</c:v>
                </c:pt>
                <c:pt idx="341">
                  <c:v>54500960.009999998</c:v>
                </c:pt>
                <c:pt idx="342">
                  <c:v>54500960.009999998</c:v>
                </c:pt>
                <c:pt idx="343">
                  <c:v>54500960.009999998</c:v>
                </c:pt>
                <c:pt idx="344">
                  <c:v>54500960.009999998</c:v>
                </c:pt>
                <c:pt idx="345">
                  <c:v>54500960.009999998</c:v>
                </c:pt>
                <c:pt idx="346">
                  <c:v>54500960.009999998</c:v>
                </c:pt>
                <c:pt idx="347">
                  <c:v>54500960.009999998</c:v>
                </c:pt>
                <c:pt idx="348">
                  <c:v>54500960.009999998</c:v>
                </c:pt>
                <c:pt idx="349">
                  <c:v>54500960.009999998</c:v>
                </c:pt>
                <c:pt idx="350">
                  <c:v>54500960.009999998</c:v>
                </c:pt>
                <c:pt idx="351">
                  <c:v>54500960.009999998</c:v>
                </c:pt>
                <c:pt idx="352">
                  <c:v>54500960.009999998</c:v>
                </c:pt>
                <c:pt idx="353">
                  <c:v>54500960.009999998</c:v>
                </c:pt>
                <c:pt idx="354">
                  <c:v>54500960.009999998</c:v>
                </c:pt>
                <c:pt idx="355">
                  <c:v>54500960.009999998</c:v>
                </c:pt>
                <c:pt idx="356">
                  <c:v>54500960.009999998</c:v>
                </c:pt>
                <c:pt idx="357">
                  <c:v>54500960.009999998</c:v>
                </c:pt>
                <c:pt idx="358">
                  <c:v>54500960.009999998</c:v>
                </c:pt>
                <c:pt idx="359">
                  <c:v>54500960.009999998</c:v>
                </c:pt>
                <c:pt idx="360">
                  <c:v>54500960.009999998</c:v>
                </c:pt>
                <c:pt idx="361">
                  <c:v>54500960.009999998</c:v>
                </c:pt>
                <c:pt idx="362">
                  <c:v>54500960.009999998</c:v>
                </c:pt>
                <c:pt idx="363">
                  <c:v>54500960.009999998</c:v>
                </c:pt>
                <c:pt idx="364">
                  <c:v>54500960.009999998</c:v>
                </c:pt>
                <c:pt idx="365">
                  <c:v>54500960.009999998</c:v>
                </c:pt>
                <c:pt idx="366">
                  <c:v>56647116.899999999</c:v>
                </c:pt>
                <c:pt idx="367">
                  <c:v>56647116.899999999</c:v>
                </c:pt>
                <c:pt idx="368">
                  <c:v>56647116.899999999</c:v>
                </c:pt>
                <c:pt idx="369">
                  <c:v>56647116.899999999</c:v>
                </c:pt>
                <c:pt idx="370">
                  <c:v>56647116.899999999</c:v>
                </c:pt>
                <c:pt idx="371">
                  <c:v>56647116.899999999</c:v>
                </c:pt>
                <c:pt idx="372">
                  <c:v>56647116.899999999</c:v>
                </c:pt>
                <c:pt idx="373">
                  <c:v>56647116.899999999</c:v>
                </c:pt>
                <c:pt idx="374">
                  <c:v>56647116.899999999</c:v>
                </c:pt>
                <c:pt idx="375">
                  <c:v>56647116.899999999</c:v>
                </c:pt>
                <c:pt idx="376">
                  <c:v>56647116.899999999</c:v>
                </c:pt>
                <c:pt idx="377">
                  <c:v>56647116.899999999</c:v>
                </c:pt>
                <c:pt idx="378">
                  <c:v>56647116.899999999</c:v>
                </c:pt>
                <c:pt idx="379">
                  <c:v>56647116.899999999</c:v>
                </c:pt>
                <c:pt idx="380">
                  <c:v>56647116.899999999</c:v>
                </c:pt>
                <c:pt idx="381">
                  <c:v>56647116.899999999</c:v>
                </c:pt>
                <c:pt idx="382">
                  <c:v>56647116.899999999</c:v>
                </c:pt>
                <c:pt idx="383">
                  <c:v>56647116.899999999</c:v>
                </c:pt>
                <c:pt idx="384">
                  <c:v>56647116.899999999</c:v>
                </c:pt>
                <c:pt idx="385">
                  <c:v>56647116.899999999</c:v>
                </c:pt>
                <c:pt idx="386">
                  <c:v>56647116.899999999</c:v>
                </c:pt>
                <c:pt idx="387">
                  <c:v>56647116.899999999</c:v>
                </c:pt>
                <c:pt idx="388">
                  <c:v>56647116.899999999</c:v>
                </c:pt>
                <c:pt idx="389">
                  <c:v>56647116.899999999</c:v>
                </c:pt>
                <c:pt idx="390">
                  <c:v>56647116.899999999</c:v>
                </c:pt>
                <c:pt idx="391">
                  <c:v>56647116.899999999</c:v>
                </c:pt>
                <c:pt idx="392">
                  <c:v>56647116.899999999</c:v>
                </c:pt>
                <c:pt idx="393">
                  <c:v>56647116.899999999</c:v>
                </c:pt>
                <c:pt idx="394">
                  <c:v>56647116.899999999</c:v>
                </c:pt>
                <c:pt idx="395">
                  <c:v>56647116.899999999</c:v>
                </c:pt>
                <c:pt idx="396">
                  <c:v>56647116.899999999</c:v>
                </c:pt>
                <c:pt idx="397">
                  <c:v>56647116.899999999</c:v>
                </c:pt>
                <c:pt idx="398">
                  <c:v>56647116.899999999</c:v>
                </c:pt>
                <c:pt idx="399">
                  <c:v>56647116.899999999</c:v>
                </c:pt>
                <c:pt idx="400">
                  <c:v>56647116.899999999</c:v>
                </c:pt>
                <c:pt idx="401">
                  <c:v>56647116.899999999</c:v>
                </c:pt>
                <c:pt idx="402">
                  <c:v>56647116.899999999</c:v>
                </c:pt>
                <c:pt idx="403">
                  <c:v>56647116.899999999</c:v>
                </c:pt>
                <c:pt idx="404">
                  <c:v>56647116.899999999</c:v>
                </c:pt>
                <c:pt idx="405">
                  <c:v>56647116.899999999</c:v>
                </c:pt>
                <c:pt idx="406">
                  <c:v>56647116.899999999</c:v>
                </c:pt>
                <c:pt idx="407">
                  <c:v>56647116.899999999</c:v>
                </c:pt>
                <c:pt idx="408">
                  <c:v>56647116.899999999</c:v>
                </c:pt>
                <c:pt idx="409">
                  <c:v>56647116.899999999</c:v>
                </c:pt>
                <c:pt idx="410">
                  <c:v>56647116.899999999</c:v>
                </c:pt>
                <c:pt idx="411">
                  <c:v>56647116.899999999</c:v>
                </c:pt>
                <c:pt idx="412">
                  <c:v>56647116.899999999</c:v>
                </c:pt>
                <c:pt idx="413">
                  <c:v>56647116.899999999</c:v>
                </c:pt>
                <c:pt idx="414">
                  <c:v>56647116.899999999</c:v>
                </c:pt>
                <c:pt idx="415">
                  <c:v>56647116.899999999</c:v>
                </c:pt>
                <c:pt idx="416">
                  <c:v>56647116.899999999</c:v>
                </c:pt>
                <c:pt idx="417">
                  <c:v>56647116.899999999</c:v>
                </c:pt>
                <c:pt idx="418">
                  <c:v>56647116.899999999</c:v>
                </c:pt>
                <c:pt idx="419">
                  <c:v>56647116.899999999</c:v>
                </c:pt>
                <c:pt idx="420">
                  <c:v>56647116.899999999</c:v>
                </c:pt>
                <c:pt idx="421">
                  <c:v>56647116.899999999</c:v>
                </c:pt>
                <c:pt idx="422">
                  <c:v>56647116.899999999</c:v>
                </c:pt>
                <c:pt idx="423">
                  <c:v>56647116.899999999</c:v>
                </c:pt>
                <c:pt idx="424">
                  <c:v>56647116.899999999</c:v>
                </c:pt>
                <c:pt idx="425">
                  <c:v>56647116.899999999</c:v>
                </c:pt>
                <c:pt idx="426">
                  <c:v>56647116.899999999</c:v>
                </c:pt>
                <c:pt idx="427">
                  <c:v>56647116.899999999</c:v>
                </c:pt>
                <c:pt idx="428">
                  <c:v>56647116.899999999</c:v>
                </c:pt>
                <c:pt idx="429">
                  <c:v>56647116.899999999</c:v>
                </c:pt>
                <c:pt idx="430">
                  <c:v>56647116.899999999</c:v>
                </c:pt>
                <c:pt idx="431">
                  <c:v>56647116.899999999</c:v>
                </c:pt>
                <c:pt idx="432">
                  <c:v>56647116.899999999</c:v>
                </c:pt>
                <c:pt idx="433">
                  <c:v>56647116.899999999</c:v>
                </c:pt>
                <c:pt idx="434">
                  <c:v>56647116.899999999</c:v>
                </c:pt>
                <c:pt idx="435">
                  <c:v>56647116.899999999</c:v>
                </c:pt>
                <c:pt idx="436">
                  <c:v>56647116.899999999</c:v>
                </c:pt>
                <c:pt idx="437">
                  <c:v>56647116.899999999</c:v>
                </c:pt>
                <c:pt idx="438">
                  <c:v>56647116.899999999</c:v>
                </c:pt>
                <c:pt idx="439">
                  <c:v>56647116.899999999</c:v>
                </c:pt>
                <c:pt idx="440">
                  <c:v>56647116.899999999</c:v>
                </c:pt>
                <c:pt idx="441">
                  <c:v>56647116.899999999</c:v>
                </c:pt>
                <c:pt idx="442">
                  <c:v>56647116.899999999</c:v>
                </c:pt>
                <c:pt idx="443">
                  <c:v>56647116.899999999</c:v>
                </c:pt>
                <c:pt idx="444">
                  <c:v>56647116.899999999</c:v>
                </c:pt>
                <c:pt idx="445">
                  <c:v>56647116.899999999</c:v>
                </c:pt>
                <c:pt idx="446">
                  <c:v>56647116.899999999</c:v>
                </c:pt>
                <c:pt idx="447">
                  <c:v>56647116.899999999</c:v>
                </c:pt>
                <c:pt idx="448">
                  <c:v>56647116.899999999</c:v>
                </c:pt>
                <c:pt idx="449">
                  <c:v>56647116.899999999</c:v>
                </c:pt>
                <c:pt idx="450">
                  <c:v>56647116.899999999</c:v>
                </c:pt>
                <c:pt idx="451">
                  <c:v>56647116.899999999</c:v>
                </c:pt>
                <c:pt idx="452">
                  <c:v>56647116.899999999</c:v>
                </c:pt>
                <c:pt idx="453">
                  <c:v>56647116.899999999</c:v>
                </c:pt>
                <c:pt idx="454">
                  <c:v>56647116.899999999</c:v>
                </c:pt>
                <c:pt idx="455">
                  <c:v>56647116.899999999</c:v>
                </c:pt>
                <c:pt idx="456">
                  <c:v>56647116.899999999</c:v>
                </c:pt>
                <c:pt idx="457">
                  <c:v>56647116.899999999</c:v>
                </c:pt>
              </c:numCache>
            </c:numRef>
          </c:val>
          <c:smooth val="0"/>
          <c:extLst xmlns:c16r2="http://schemas.microsoft.com/office/drawing/2015/06/chart">
            <c:ext xmlns:c16="http://schemas.microsoft.com/office/drawing/2014/chart" uri="{C3380CC4-5D6E-409C-BE32-E72D297353CC}">
              <c16:uniqueId val="{00000001-6AA7-43A1-B0DE-513D905F46E1}"/>
            </c:ext>
          </c:extLst>
        </c:ser>
        <c:ser>
          <c:idx val="2"/>
          <c:order val="2"/>
          <c:tx>
            <c:strRef>
              <c:f>'Figura 4'!$H$1</c:f>
              <c:strCache>
                <c:ptCount val="1"/>
                <c:pt idx="0">
                  <c:v>Cessazioni giornaliere cumulate (CGC)</c:v>
                </c:pt>
              </c:strCache>
            </c:strRef>
          </c:tx>
          <c:spPr>
            <a:ln>
              <a:solidFill>
                <a:srgbClr val="C00000"/>
              </a:solidFill>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4'!$H$2:$H$460</c:f>
              <c:numCache>
                <c:formatCode>General</c:formatCode>
                <c:ptCount val="459"/>
                <c:pt idx="0">
                  <c:v>45731715</c:v>
                </c:pt>
                <c:pt idx="1">
                  <c:v>45741340</c:v>
                </c:pt>
                <c:pt idx="2">
                  <c:v>45757581</c:v>
                </c:pt>
                <c:pt idx="3">
                  <c:v>45771159</c:v>
                </c:pt>
                <c:pt idx="4">
                  <c:v>45779292</c:v>
                </c:pt>
                <c:pt idx="5">
                  <c:v>45793868</c:v>
                </c:pt>
                <c:pt idx="6">
                  <c:v>45806127</c:v>
                </c:pt>
                <c:pt idx="7">
                  <c:v>45818052</c:v>
                </c:pt>
                <c:pt idx="8">
                  <c:v>45829855</c:v>
                </c:pt>
                <c:pt idx="9">
                  <c:v>45853414</c:v>
                </c:pt>
                <c:pt idx="10">
                  <c:v>45866360</c:v>
                </c:pt>
                <c:pt idx="11">
                  <c:v>45874353</c:v>
                </c:pt>
                <c:pt idx="12">
                  <c:v>45888205</c:v>
                </c:pt>
                <c:pt idx="13">
                  <c:v>45900461</c:v>
                </c:pt>
                <c:pt idx="14">
                  <c:v>45922943</c:v>
                </c:pt>
                <c:pt idx="15">
                  <c:v>45934607</c:v>
                </c:pt>
                <c:pt idx="16">
                  <c:v>45952443</c:v>
                </c:pt>
                <c:pt idx="17">
                  <c:v>45965592</c:v>
                </c:pt>
                <c:pt idx="18">
                  <c:v>45972993</c:v>
                </c:pt>
                <c:pt idx="19">
                  <c:v>45989788</c:v>
                </c:pt>
                <c:pt idx="20">
                  <c:v>45999316</c:v>
                </c:pt>
                <c:pt idx="21">
                  <c:v>46010106</c:v>
                </c:pt>
                <c:pt idx="22">
                  <c:v>46020667</c:v>
                </c:pt>
                <c:pt idx="23">
                  <c:v>46038755</c:v>
                </c:pt>
                <c:pt idx="24">
                  <c:v>46050846</c:v>
                </c:pt>
                <c:pt idx="25">
                  <c:v>46057631</c:v>
                </c:pt>
                <c:pt idx="26">
                  <c:v>46070147</c:v>
                </c:pt>
                <c:pt idx="27">
                  <c:v>46080057</c:v>
                </c:pt>
                <c:pt idx="28">
                  <c:v>46089372</c:v>
                </c:pt>
                <c:pt idx="29">
                  <c:v>46104684</c:v>
                </c:pt>
                <c:pt idx="30">
                  <c:v>46307013</c:v>
                </c:pt>
                <c:pt idx="31">
                  <c:v>46318873</c:v>
                </c:pt>
                <c:pt idx="32">
                  <c:v>46325690</c:v>
                </c:pt>
                <c:pt idx="33">
                  <c:v>46335838</c:v>
                </c:pt>
                <c:pt idx="34">
                  <c:v>46344258</c:v>
                </c:pt>
                <c:pt idx="35">
                  <c:v>46353807</c:v>
                </c:pt>
                <c:pt idx="36">
                  <c:v>46363197</c:v>
                </c:pt>
                <c:pt idx="37">
                  <c:v>46392553</c:v>
                </c:pt>
                <c:pt idx="38">
                  <c:v>46407311</c:v>
                </c:pt>
                <c:pt idx="39">
                  <c:v>46413571</c:v>
                </c:pt>
                <c:pt idx="40">
                  <c:v>46425273</c:v>
                </c:pt>
                <c:pt idx="41">
                  <c:v>46431166</c:v>
                </c:pt>
                <c:pt idx="42">
                  <c:v>46437984</c:v>
                </c:pt>
                <c:pt idx="43">
                  <c:v>46446122</c:v>
                </c:pt>
                <c:pt idx="44">
                  <c:v>46463547</c:v>
                </c:pt>
                <c:pt idx="45">
                  <c:v>46471567</c:v>
                </c:pt>
                <c:pt idx="46">
                  <c:v>46477178</c:v>
                </c:pt>
                <c:pt idx="47">
                  <c:v>46483312</c:v>
                </c:pt>
                <c:pt idx="48">
                  <c:v>46488047</c:v>
                </c:pt>
                <c:pt idx="49">
                  <c:v>46492857</c:v>
                </c:pt>
                <c:pt idx="50">
                  <c:v>46501422</c:v>
                </c:pt>
                <c:pt idx="51">
                  <c:v>46510037</c:v>
                </c:pt>
                <c:pt idx="52">
                  <c:v>46518759</c:v>
                </c:pt>
                <c:pt idx="53">
                  <c:v>46526146</c:v>
                </c:pt>
                <c:pt idx="54">
                  <c:v>46534814</c:v>
                </c:pt>
                <c:pt idx="55">
                  <c:v>46542553</c:v>
                </c:pt>
                <c:pt idx="56">
                  <c:v>46550039</c:v>
                </c:pt>
                <c:pt idx="57">
                  <c:v>46558616</c:v>
                </c:pt>
                <c:pt idx="58">
                  <c:v>46574924</c:v>
                </c:pt>
                <c:pt idx="59">
                  <c:v>46587825</c:v>
                </c:pt>
                <c:pt idx="60">
                  <c:v>46606910</c:v>
                </c:pt>
                <c:pt idx="61">
                  <c:v>46896828</c:v>
                </c:pt>
                <c:pt idx="62">
                  <c:v>46910918</c:v>
                </c:pt>
                <c:pt idx="63">
                  <c:v>46919817</c:v>
                </c:pt>
                <c:pt idx="64">
                  <c:v>46930822</c:v>
                </c:pt>
                <c:pt idx="65">
                  <c:v>46948821</c:v>
                </c:pt>
                <c:pt idx="66">
                  <c:v>46966397</c:v>
                </c:pt>
                <c:pt idx="67">
                  <c:v>46990000</c:v>
                </c:pt>
                <c:pt idx="68">
                  <c:v>47008460</c:v>
                </c:pt>
                <c:pt idx="69">
                  <c:v>47021470</c:v>
                </c:pt>
                <c:pt idx="70">
                  <c:v>47034075</c:v>
                </c:pt>
                <c:pt idx="71">
                  <c:v>47055783</c:v>
                </c:pt>
                <c:pt idx="72">
                  <c:v>47077981</c:v>
                </c:pt>
                <c:pt idx="73">
                  <c:v>47102115</c:v>
                </c:pt>
                <c:pt idx="74">
                  <c:v>47139298</c:v>
                </c:pt>
                <c:pt idx="75">
                  <c:v>47166010</c:v>
                </c:pt>
                <c:pt idx="76">
                  <c:v>47213002</c:v>
                </c:pt>
                <c:pt idx="77">
                  <c:v>47227998</c:v>
                </c:pt>
                <c:pt idx="78">
                  <c:v>47241186</c:v>
                </c:pt>
                <c:pt idx="79">
                  <c:v>47263508</c:v>
                </c:pt>
                <c:pt idx="80">
                  <c:v>47283525</c:v>
                </c:pt>
                <c:pt idx="81">
                  <c:v>47313914</c:v>
                </c:pt>
                <c:pt idx="82">
                  <c:v>47332343</c:v>
                </c:pt>
                <c:pt idx="83">
                  <c:v>47346327</c:v>
                </c:pt>
                <c:pt idx="84">
                  <c:v>47360753</c:v>
                </c:pt>
                <c:pt idx="85">
                  <c:v>47374511</c:v>
                </c:pt>
                <c:pt idx="86">
                  <c:v>47397452</c:v>
                </c:pt>
                <c:pt idx="87">
                  <c:v>47414703</c:v>
                </c:pt>
                <c:pt idx="88">
                  <c:v>47431243</c:v>
                </c:pt>
                <c:pt idx="89">
                  <c:v>47447221</c:v>
                </c:pt>
                <c:pt idx="90">
                  <c:v>47460073</c:v>
                </c:pt>
                <c:pt idx="91">
                  <c:v>47807880</c:v>
                </c:pt>
                <c:pt idx="92">
                  <c:v>47821790</c:v>
                </c:pt>
                <c:pt idx="93">
                  <c:v>47839387</c:v>
                </c:pt>
                <c:pt idx="94">
                  <c:v>47854133</c:v>
                </c:pt>
                <c:pt idx="95">
                  <c:v>47868400</c:v>
                </c:pt>
                <c:pt idx="96">
                  <c:v>47886471</c:v>
                </c:pt>
                <c:pt idx="97">
                  <c:v>47900486</c:v>
                </c:pt>
                <c:pt idx="98">
                  <c:v>47915791</c:v>
                </c:pt>
                <c:pt idx="99">
                  <c:v>47931745</c:v>
                </c:pt>
                <c:pt idx="100">
                  <c:v>47956925</c:v>
                </c:pt>
                <c:pt idx="101">
                  <c:v>47985412</c:v>
                </c:pt>
                <c:pt idx="102">
                  <c:v>48000454</c:v>
                </c:pt>
                <c:pt idx="103">
                  <c:v>48019222</c:v>
                </c:pt>
                <c:pt idx="104">
                  <c:v>48033265</c:v>
                </c:pt>
                <c:pt idx="105">
                  <c:v>48051924</c:v>
                </c:pt>
                <c:pt idx="106">
                  <c:v>48088485</c:v>
                </c:pt>
                <c:pt idx="107">
                  <c:v>48113431</c:v>
                </c:pt>
                <c:pt idx="108">
                  <c:v>48130760</c:v>
                </c:pt>
                <c:pt idx="109">
                  <c:v>48145446</c:v>
                </c:pt>
                <c:pt idx="110">
                  <c:v>48161072</c:v>
                </c:pt>
                <c:pt idx="111">
                  <c:v>48183214</c:v>
                </c:pt>
                <c:pt idx="112">
                  <c:v>48196278</c:v>
                </c:pt>
                <c:pt idx="113">
                  <c:v>48209301</c:v>
                </c:pt>
                <c:pt idx="114">
                  <c:v>48229168</c:v>
                </c:pt>
                <c:pt idx="115">
                  <c:v>48243590</c:v>
                </c:pt>
                <c:pt idx="116">
                  <c:v>48257370</c:v>
                </c:pt>
                <c:pt idx="117">
                  <c:v>48271416</c:v>
                </c:pt>
                <c:pt idx="118">
                  <c:v>48283557</c:v>
                </c:pt>
                <c:pt idx="119">
                  <c:v>48296219</c:v>
                </c:pt>
                <c:pt idx="120">
                  <c:v>48308052</c:v>
                </c:pt>
                <c:pt idx="121">
                  <c:v>48354522</c:v>
                </c:pt>
                <c:pt idx="122">
                  <c:v>48593678</c:v>
                </c:pt>
                <c:pt idx="123">
                  <c:v>48606818</c:v>
                </c:pt>
                <c:pt idx="124">
                  <c:v>48619458</c:v>
                </c:pt>
                <c:pt idx="125">
                  <c:v>48631250</c:v>
                </c:pt>
                <c:pt idx="126">
                  <c:v>48644896</c:v>
                </c:pt>
                <c:pt idx="127">
                  <c:v>48658481</c:v>
                </c:pt>
                <c:pt idx="128">
                  <c:v>48679659</c:v>
                </c:pt>
                <c:pt idx="129">
                  <c:v>48694479</c:v>
                </c:pt>
                <c:pt idx="130">
                  <c:v>48706911</c:v>
                </c:pt>
                <c:pt idx="131">
                  <c:v>48721996</c:v>
                </c:pt>
                <c:pt idx="132">
                  <c:v>48738651</c:v>
                </c:pt>
                <c:pt idx="133">
                  <c:v>48752349</c:v>
                </c:pt>
                <c:pt idx="134">
                  <c:v>48765473</c:v>
                </c:pt>
                <c:pt idx="135">
                  <c:v>48789937</c:v>
                </c:pt>
                <c:pt idx="136">
                  <c:v>48807869</c:v>
                </c:pt>
                <c:pt idx="137">
                  <c:v>48830106</c:v>
                </c:pt>
                <c:pt idx="138">
                  <c:v>48846356</c:v>
                </c:pt>
                <c:pt idx="139">
                  <c:v>48858450</c:v>
                </c:pt>
                <c:pt idx="140">
                  <c:v>48872667</c:v>
                </c:pt>
                <c:pt idx="141">
                  <c:v>48886768</c:v>
                </c:pt>
                <c:pt idx="142">
                  <c:v>48913852</c:v>
                </c:pt>
                <c:pt idx="143">
                  <c:v>48927165</c:v>
                </c:pt>
                <c:pt idx="144">
                  <c:v>48940286</c:v>
                </c:pt>
                <c:pt idx="145">
                  <c:v>48957132</c:v>
                </c:pt>
                <c:pt idx="146">
                  <c:v>48972515</c:v>
                </c:pt>
                <c:pt idx="147">
                  <c:v>48989902</c:v>
                </c:pt>
                <c:pt idx="148">
                  <c:v>49005176</c:v>
                </c:pt>
                <c:pt idx="149">
                  <c:v>49028595</c:v>
                </c:pt>
                <c:pt idx="150">
                  <c:v>49040929</c:v>
                </c:pt>
                <c:pt idx="151">
                  <c:v>49052627</c:v>
                </c:pt>
                <c:pt idx="152">
                  <c:v>49245654</c:v>
                </c:pt>
                <c:pt idx="153">
                  <c:v>49258403</c:v>
                </c:pt>
                <c:pt idx="154">
                  <c:v>49269983</c:v>
                </c:pt>
                <c:pt idx="155">
                  <c:v>49281852</c:v>
                </c:pt>
                <c:pt idx="156">
                  <c:v>49301665</c:v>
                </c:pt>
                <c:pt idx="157">
                  <c:v>49315586</c:v>
                </c:pt>
                <c:pt idx="158">
                  <c:v>49324743</c:v>
                </c:pt>
                <c:pt idx="159">
                  <c:v>49337719</c:v>
                </c:pt>
                <c:pt idx="160">
                  <c:v>49344989</c:v>
                </c:pt>
                <c:pt idx="161">
                  <c:v>49358409</c:v>
                </c:pt>
                <c:pt idx="162">
                  <c:v>49377250</c:v>
                </c:pt>
                <c:pt idx="163">
                  <c:v>49400802</c:v>
                </c:pt>
                <c:pt idx="164">
                  <c:v>49416385</c:v>
                </c:pt>
                <c:pt idx="165">
                  <c:v>49427843</c:v>
                </c:pt>
                <c:pt idx="166">
                  <c:v>49447013</c:v>
                </c:pt>
                <c:pt idx="167">
                  <c:v>49476064</c:v>
                </c:pt>
                <c:pt idx="168">
                  <c:v>49493284</c:v>
                </c:pt>
                <c:pt idx="169">
                  <c:v>49508701</c:v>
                </c:pt>
                <c:pt idx="170">
                  <c:v>49551102</c:v>
                </c:pt>
                <c:pt idx="171">
                  <c:v>49570665</c:v>
                </c:pt>
                <c:pt idx="172">
                  <c:v>49591435</c:v>
                </c:pt>
                <c:pt idx="173">
                  <c:v>49612491</c:v>
                </c:pt>
                <c:pt idx="174">
                  <c:v>49644370</c:v>
                </c:pt>
                <c:pt idx="175">
                  <c:v>49691362</c:v>
                </c:pt>
                <c:pt idx="176">
                  <c:v>49716432</c:v>
                </c:pt>
                <c:pt idx="177">
                  <c:v>49719306</c:v>
                </c:pt>
                <c:pt idx="178">
                  <c:v>49723264</c:v>
                </c:pt>
                <c:pt idx="179">
                  <c:v>49730308</c:v>
                </c:pt>
                <c:pt idx="180">
                  <c:v>49745241</c:v>
                </c:pt>
                <c:pt idx="181">
                  <c:v>49756628</c:v>
                </c:pt>
                <c:pt idx="182">
                  <c:v>49804513</c:v>
                </c:pt>
                <c:pt idx="183">
                  <c:v>50476504</c:v>
                </c:pt>
                <c:pt idx="184">
                  <c:v>50483975</c:v>
                </c:pt>
                <c:pt idx="185">
                  <c:v>50489691</c:v>
                </c:pt>
                <c:pt idx="186">
                  <c:v>50495559</c:v>
                </c:pt>
                <c:pt idx="187">
                  <c:v>50503148</c:v>
                </c:pt>
                <c:pt idx="188">
                  <c:v>50510749</c:v>
                </c:pt>
                <c:pt idx="189">
                  <c:v>50520722</c:v>
                </c:pt>
                <c:pt idx="190">
                  <c:v>50531448</c:v>
                </c:pt>
                <c:pt idx="191">
                  <c:v>50545540</c:v>
                </c:pt>
                <c:pt idx="192">
                  <c:v>50554690</c:v>
                </c:pt>
                <c:pt idx="193">
                  <c:v>50570022</c:v>
                </c:pt>
                <c:pt idx="194">
                  <c:v>50583066</c:v>
                </c:pt>
                <c:pt idx="195">
                  <c:v>50592565</c:v>
                </c:pt>
                <c:pt idx="196">
                  <c:v>50602339</c:v>
                </c:pt>
                <c:pt idx="197">
                  <c:v>50613743</c:v>
                </c:pt>
                <c:pt idx="198">
                  <c:v>50638256</c:v>
                </c:pt>
                <c:pt idx="199">
                  <c:v>50647522</c:v>
                </c:pt>
                <c:pt idx="200">
                  <c:v>50655743</c:v>
                </c:pt>
                <c:pt idx="201">
                  <c:v>50667710</c:v>
                </c:pt>
                <c:pt idx="202">
                  <c:v>50676895</c:v>
                </c:pt>
                <c:pt idx="203">
                  <c:v>50688713</c:v>
                </c:pt>
                <c:pt idx="204">
                  <c:v>50698423</c:v>
                </c:pt>
                <c:pt idx="205">
                  <c:v>50714301</c:v>
                </c:pt>
                <c:pt idx="206">
                  <c:v>50722451</c:v>
                </c:pt>
                <c:pt idx="207">
                  <c:v>50729657</c:v>
                </c:pt>
                <c:pt idx="208">
                  <c:v>50741003</c:v>
                </c:pt>
                <c:pt idx="209">
                  <c:v>50750490</c:v>
                </c:pt>
                <c:pt idx="210">
                  <c:v>50760055</c:v>
                </c:pt>
                <c:pt idx="211">
                  <c:v>50770158</c:v>
                </c:pt>
                <c:pt idx="212">
                  <c:v>50795655</c:v>
                </c:pt>
                <c:pt idx="213">
                  <c:v>50815879</c:v>
                </c:pt>
                <c:pt idx="214">
                  <c:v>50921887</c:v>
                </c:pt>
                <c:pt idx="215">
                  <c:v>50931786</c:v>
                </c:pt>
                <c:pt idx="216">
                  <c:v>50939521</c:v>
                </c:pt>
                <c:pt idx="217">
                  <c:v>50949049</c:v>
                </c:pt>
                <c:pt idx="218">
                  <c:v>50957864</c:v>
                </c:pt>
                <c:pt idx="219">
                  <c:v>50975044</c:v>
                </c:pt>
                <c:pt idx="220">
                  <c:v>50984571</c:v>
                </c:pt>
                <c:pt idx="221">
                  <c:v>50993978</c:v>
                </c:pt>
                <c:pt idx="222">
                  <c:v>51005022</c:v>
                </c:pt>
                <c:pt idx="223">
                  <c:v>51013935</c:v>
                </c:pt>
                <c:pt idx="224">
                  <c:v>51025017</c:v>
                </c:pt>
                <c:pt idx="225">
                  <c:v>51034573</c:v>
                </c:pt>
                <c:pt idx="226">
                  <c:v>51053032</c:v>
                </c:pt>
                <c:pt idx="227">
                  <c:v>51063528</c:v>
                </c:pt>
                <c:pt idx="228">
                  <c:v>51074149</c:v>
                </c:pt>
                <c:pt idx="229">
                  <c:v>51090781</c:v>
                </c:pt>
                <c:pt idx="230">
                  <c:v>51100369</c:v>
                </c:pt>
                <c:pt idx="231">
                  <c:v>51109949</c:v>
                </c:pt>
                <c:pt idx="232">
                  <c:v>51119730</c:v>
                </c:pt>
                <c:pt idx="233">
                  <c:v>51136663</c:v>
                </c:pt>
                <c:pt idx="234">
                  <c:v>51147709</c:v>
                </c:pt>
                <c:pt idx="235">
                  <c:v>51155382</c:v>
                </c:pt>
                <c:pt idx="236">
                  <c:v>51166608</c:v>
                </c:pt>
                <c:pt idx="237">
                  <c:v>51175493</c:v>
                </c:pt>
                <c:pt idx="238">
                  <c:v>51185054</c:v>
                </c:pt>
                <c:pt idx="239">
                  <c:v>51195162</c:v>
                </c:pt>
                <c:pt idx="240">
                  <c:v>51214318</c:v>
                </c:pt>
                <c:pt idx="241">
                  <c:v>51224734</c:v>
                </c:pt>
                <c:pt idx="242">
                  <c:v>51245382</c:v>
                </c:pt>
                <c:pt idx="243">
                  <c:v>51356849</c:v>
                </c:pt>
                <c:pt idx="244">
                  <c:v>51367101</c:v>
                </c:pt>
                <c:pt idx="245">
                  <c:v>51375740</c:v>
                </c:pt>
                <c:pt idx="246">
                  <c:v>51384827</c:v>
                </c:pt>
                <c:pt idx="247">
                  <c:v>51401400</c:v>
                </c:pt>
                <c:pt idx="248">
                  <c:v>51411131</c:v>
                </c:pt>
                <c:pt idx="249">
                  <c:v>51420305</c:v>
                </c:pt>
                <c:pt idx="250">
                  <c:v>51432770</c:v>
                </c:pt>
                <c:pt idx="251">
                  <c:v>51443568</c:v>
                </c:pt>
                <c:pt idx="252">
                  <c:v>51453972</c:v>
                </c:pt>
                <c:pt idx="253">
                  <c:v>51468103</c:v>
                </c:pt>
                <c:pt idx="254">
                  <c:v>51491355</c:v>
                </c:pt>
                <c:pt idx="255">
                  <c:v>51501469</c:v>
                </c:pt>
                <c:pt idx="256">
                  <c:v>51510862</c:v>
                </c:pt>
                <c:pt idx="257">
                  <c:v>51522084</c:v>
                </c:pt>
                <c:pt idx="258">
                  <c:v>51538289</c:v>
                </c:pt>
                <c:pt idx="259">
                  <c:v>51548571</c:v>
                </c:pt>
                <c:pt idx="260">
                  <c:v>51558064</c:v>
                </c:pt>
                <c:pt idx="261">
                  <c:v>51575918</c:v>
                </c:pt>
                <c:pt idx="262">
                  <c:v>51585957</c:v>
                </c:pt>
                <c:pt idx="263">
                  <c:v>51597006</c:v>
                </c:pt>
                <c:pt idx="264">
                  <c:v>51607798</c:v>
                </c:pt>
                <c:pt idx="265">
                  <c:v>51618761</c:v>
                </c:pt>
                <c:pt idx="266">
                  <c:v>51639179</c:v>
                </c:pt>
                <c:pt idx="267">
                  <c:v>51647256</c:v>
                </c:pt>
                <c:pt idx="268">
                  <c:v>51660120</c:v>
                </c:pt>
                <c:pt idx="269">
                  <c:v>51669396</c:v>
                </c:pt>
                <c:pt idx="270">
                  <c:v>51674593</c:v>
                </c:pt>
                <c:pt idx="271">
                  <c:v>51684884</c:v>
                </c:pt>
                <c:pt idx="272">
                  <c:v>51694818</c:v>
                </c:pt>
                <c:pt idx="273">
                  <c:v>51708929</c:v>
                </c:pt>
                <c:pt idx="274">
                  <c:v>51869317</c:v>
                </c:pt>
                <c:pt idx="275">
                  <c:v>51884640</c:v>
                </c:pt>
                <c:pt idx="276">
                  <c:v>51894130</c:v>
                </c:pt>
                <c:pt idx="277">
                  <c:v>51905416</c:v>
                </c:pt>
                <c:pt idx="278">
                  <c:v>51917343</c:v>
                </c:pt>
                <c:pt idx="279">
                  <c:v>51929223</c:v>
                </c:pt>
                <c:pt idx="280">
                  <c:v>51941201</c:v>
                </c:pt>
                <c:pt idx="281">
                  <c:v>51952641</c:v>
                </c:pt>
                <c:pt idx="282">
                  <c:v>51971000</c:v>
                </c:pt>
                <c:pt idx="283">
                  <c:v>51983191</c:v>
                </c:pt>
                <c:pt idx="284">
                  <c:v>51997524</c:v>
                </c:pt>
                <c:pt idx="285">
                  <c:v>52009727</c:v>
                </c:pt>
                <c:pt idx="286">
                  <c:v>52021415</c:v>
                </c:pt>
                <c:pt idx="287">
                  <c:v>52033396</c:v>
                </c:pt>
                <c:pt idx="288">
                  <c:v>52047704</c:v>
                </c:pt>
                <c:pt idx="289">
                  <c:v>52074564</c:v>
                </c:pt>
                <c:pt idx="290">
                  <c:v>52087352</c:v>
                </c:pt>
                <c:pt idx="291">
                  <c:v>52097234</c:v>
                </c:pt>
                <c:pt idx="292">
                  <c:v>52109408</c:v>
                </c:pt>
                <c:pt idx="293">
                  <c:v>52120379</c:v>
                </c:pt>
                <c:pt idx="294">
                  <c:v>52134467</c:v>
                </c:pt>
                <c:pt idx="295">
                  <c:v>52146064</c:v>
                </c:pt>
                <c:pt idx="296">
                  <c:v>52165236</c:v>
                </c:pt>
                <c:pt idx="297">
                  <c:v>52177230</c:v>
                </c:pt>
                <c:pt idx="298">
                  <c:v>52185452</c:v>
                </c:pt>
                <c:pt idx="299">
                  <c:v>52192788</c:v>
                </c:pt>
                <c:pt idx="300">
                  <c:v>52203684</c:v>
                </c:pt>
                <c:pt idx="301">
                  <c:v>52214446</c:v>
                </c:pt>
                <c:pt idx="302">
                  <c:v>52225872</c:v>
                </c:pt>
                <c:pt idx="303">
                  <c:v>52250856</c:v>
                </c:pt>
                <c:pt idx="304">
                  <c:v>52380518</c:v>
                </c:pt>
                <c:pt idx="305">
                  <c:v>52391086</c:v>
                </c:pt>
                <c:pt idx="306">
                  <c:v>52401071</c:v>
                </c:pt>
                <c:pt idx="307">
                  <c:v>52411392</c:v>
                </c:pt>
                <c:pt idx="308">
                  <c:v>52422352</c:v>
                </c:pt>
                <c:pt idx="309">
                  <c:v>52434291</c:v>
                </c:pt>
                <c:pt idx="310">
                  <c:v>52451494</c:v>
                </c:pt>
                <c:pt idx="311">
                  <c:v>52463117</c:v>
                </c:pt>
                <c:pt idx="312">
                  <c:v>52473546</c:v>
                </c:pt>
                <c:pt idx="313">
                  <c:v>52485008</c:v>
                </c:pt>
                <c:pt idx="314">
                  <c:v>52498794</c:v>
                </c:pt>
                <c:pt idx="315">
                  <c:v>52510154</c:v>
                </c:pt>
                <c:pt idx="316">
                  <c:v>52521778</c:v>
                </c:pt>
                <c:pt idx="317">
                  <c:v>52541420</c:v>
                </c:pt>
                <c:pt idx="318">
                  <c:v>52556077</c:v>
                </c:pt>
                <c:pt idx="319">
                  <c:v>52573953</c:v>
                </c:pt>
                <c:pt idx="320">
                  <c:v>52587071</c:v>
                </c:pt>
                <c:pt idx="321">
                  <c:v>52598224</c:v>
                </c:pt>
                <c:pt idx="322">
                  <c:v>52610382</c:v>
                </c:pt>
                <c:pt idx="323">
                  <c:v>52621383</c:v>
                </c:pt>
                <c:pt idx="324">
                  <c:v>52641935</c:v>
                </c:pt>
                <c:pt idx="325">
                  <c:v>52653591</c:v>
                </c:pt>
                <c:pt idx="326">
                  <c:v>52664016</c:v>
                </c:pt>
                <c:pt idx="327">
                  <c:v>52675903</c:v>
                </c:pt>
                <c:pt idx="328">
                  <c:v>52687349</c:v>
                </c:pt>
                <c:pt idx="329">
                  <c:v>52699809</c:v>
                </c:pt>
                <c:pt idx="330">
                  <c:v>52711613</c:v>
                </c:pt>
                <c:pt idx="331">
                  <c:v>52730607</c:v>
                </c:pt>
                <c:pt idx="332">
                  <c:v>52743276</c:v>
                </c:pt>
                <c:pt idx="333">
                  <c:v>52753244</c:v>
                </c:pt>
                <c:pt idx="334">
                  <c:v>52771252</c:v>
                </c:pt>
                <c:pt idx="335">
                  <c:v>52921178</c:v>
                </c:pt>
                <c:pt idx="336">
                  <c:v>52938370</c:v>
                </c:pt>
                <c:pt idx="337">
                  <c:v>52945053</c:v>
                </c:pt>
                <c:pt idx="338">
                  <c:v>52958002</c:v>
                </c:pt>
                <c:pt idx="339">
                  <c:v>52970102</c:v>
                </c:pt>
                <c:pt idx="340">
                  <c:v>52980059</c:v>
                </c:pt>
                <c:pt idx="341">
                  <c:v>52996868</c:v>
                </c:pt>
                <c:pt idx="342">
                  <c:v>53011991</c:v>
                </c:pt>
                <c:pt idx="343">
                  <c:v>53044594</c:v>
                </c:pt>
                <c:pt idx="344">
                  <c:v>53067183</c:v>
                </c:pt>
                <c:pt idx="345">
                  <c:v>53100968</c:v>
                </c:pt>
                <c:pt idx="346">
                  <c:v>53116913</c:v>
                </c:pt>
                <c:pt idx="347">
                  <c:v>53128386</c:v>
                </c:pt>
                <c:pt idx="348">
                  <c:v>53144826</c:v>
                </c:pt>
                <c:pt idx="349">
                  <c:v>53161475</c:v>
                </c:pt>
                <c:pt idx="350">
                  <c:v>53186196</c:v>
                </c:pt>
                <c:pt idx="351">
                  <c:v>53200583</c:v>
                </c:pt>
                <c:pt idx="352">
                  <c:v>53218736</c:v>
                </c:pt>
                <c:pt idx="353">
                  <c:v>53232700</c:v>
                </c:pt>
                <c:pt idx="354">
                  <c:v>53241441</c:v>
                </c:pt>
                <c:pt idx="355">
                  <c:v>53257078</c:v>
                </c:pt>
                <c:pt idx="356">
                  <c:v>53268772</c:v>
                </c:pt>
                <c:pt idx="357">
                  <c:v>53280804</c:v>
                </c:pt>
                <c:pt idx="358">
                  <c:v>53293218</c:v>
                </c:pt>
                <c:pt idx="359">
                  <c:v>53310901</c:v>
                </c:pt>
                <c:pt idx="360">
                  <c:v>53325114</c:v>
                </c:pt>
                <c:pt idx="361">
                  <c:v>53333659</c:v>
                </c:pt>
                <c:pt idx="362">
                  <c:v>53345662</c:v>
                </c:pt>
                <c:pt idx="363">
                  <c:v>53358198</c:v>
                </c:pt>
                <c:pt idx="364">
                  <c:v>53370955</c:v>
                </c:pt>
                <c:pt idx="365">
                  <c:v>53814296</c:v>
                </c:pt>
                <c:pt idx="366">
                  <c:v>53830229</c:v>
                </c:pt>
                <c:pt idx="367">
                  <c:v>53840826</c:v>
                </c:pt>
                <c:pt idx="368">
                  <c:v>53848561</c:v>
                </c:pt>
                <c:pt idx="369">
                  <c:v>53859934</c:v>
                </c:pt>
                <c:pt idx="370">
                  <c:v>53872283</c:v>
                </c:pt>
                <c:pt idx="371">
                  <c:v>53883914</c:v>
                </c:pt>
                <c:pt idx="372">
                  <c:v>53896878</c:v>
                </c:pt>
                <c:pt idx="373">
                  <c:v>53916418</c:v>
                </c:pt>
                <c:pt idx="374">
                  <c:v>53931011</c:v>
                </c:pt>
                <c:pt idx="375">
                  <c:v>53941862</c:v>
                </c:pt>
                <c:pt idx="376">
                  <c:v>53956334</c:v>
                </c:pt>
                <c:pt idx="377">
                  <c:v>53968900</c:v>
                </c:pt>
                <c:pt idx="378">
                  <c:v>53981376</c:v>
                </c:pt>
                <c:pt idx="379">
                  <c:v>53995701</c:v>
                </c:pt>
                <c:pt idx="380">
                  <c:v>54026702</c:v>
                </c:pt>
                <c:pt idx="381">
                  <c:v>54041223</c:v>
                </c:pt>
                <c:pt idx="382">
                  <c:v>54049171</c:v>
                </c:pt>
                <c:pt idx="383">
                  <c:v>54062137</c:v>
                </c:pt>
                <c:pt idx="384">
                  <c:v>54073632</c:v>
                </c:pt>
                <c:pt idx="385">
                  <c:v>54088702</c:v>
                </c:pt>
                <c:pt idx="386">
                  <c:v>54099819</c:v>
                </c:pt>
                <c:pt idx="387">
                  <c:v>54116752</c:v>
                </c:pt>
                <c:pt idx="388">
                  <c:v>54129135</c:v>
                </c:pt>
                <c:pt idx="389">
                  <c:v>54135760</c:v>
                </c:pt>
                <c:pt idx="390">
                  <c:v>54148007</c:v>
                </c:pt>
                <c:pt idx="391">
                  <c:v>54157625</c:v>
                </c:pt>
                <c:pt idx="392">
                  <c:v>54167964</c:v>
                </c:pt>
                <c:pt idx="393">
                  <c:v>54179934</c:v>
                </c:pt>
                <c:pt idx="394">
                  <c:v>54213787</c:v>
                </c:pt>
                <c:pt idx="395">
                  <c:v>54247642</c:v>
                </c:pt>
                <c:pt idx="396">
                  <c:v>54404058</c:v>
                </c:pt>
                <c:pt idx="397">
                  <c:v>54415660</c:v>
                </c:pt>
                <c:pt idx="398">
                  <c:v>54424913</c:v>
                </c:pt>
                <c:pt idx="399">
                  <c:v>54434417</c:v>
                </c:pt>
                <c:pt idx="400">
                  <c:v>54444938</c:v>
                </c:pt>
                <c:pt idx="401">
                  <c:v>54471653</c:v>
                </c:pt>
                <c:pt idx="402">
                  <c:v>54485822</c:v>
                </c:pt>
                <c:pt idx="403">
                  <c:v>54492747</c:v>
                </c:pt>
                <c:pt idx="404">
                  <c:v>54502362</c:v>
                </c:pt>
                <c:pt idx="405">
                  <c:v>54509677</c:v>
                </c:pt>
                <c:pt idx="406">
                  <c:v>54522293</c:v>
                </c:pt>
                <c:pt idx="407">
                  <c:v>54529683</c:v>
                </c:pt>
                <c:pt idx="408">
                  <c:v>54551011</c:v>
                </c:pt>
                <c:pt idx="409">
                  <c:v>54562735</c:v>
                </c:pt>
                <c:pt idx="410">
                  <c:v>54569285</c:v>
                </c:pt>
                <c:pt idx="411">
                  <c:v>54577106</c:v>
                </c:pt>
                <c:pt idx="412">
                  <c:v>54582806</c:v>
                </c:pt>
                <c:pt idx="413">
                  <c:v>54586942</c:v>
                </c:pt>
                <c:pt idx="414">
                  <c:v>54592035</c:v>
                </c:pt>
                <c:pt idx="415">
                  <c:v>54599686</c:v>
                </c:pt>
                <c:pt idx="416">
                  <c:v>54609870</c:v>
                </c:pt>
                <c:pt idx="417">
                  <c:v>54616386</c:v>
                </c:pt>
                <c:pt idx="418">
                  <c:v>54623733</c:v>
                </c:pt>
                <c:pt idx="419">
                  <c:v>54630225</c:v>
                </c:pt>
                <c:pt idx="420">
                  <c:v>54636988</c:v>
                </c:pt>
                <c:pt idx="421">
                  <c:v>54645147</c:v>
                </c:pt>
                <c:pt idx="422">
                  <c:v>54656303</c:v>
                </c:pt>
                <c:pt idx="423">
                  <c:v>54667062</c:v>
                </c:pt>
                <c:pt idx="424">
                  <c:v>54678992</c:v>
                </c:pt>
                <c:pt idx="425">
                  <c:v>54689362</c:v>
                </c:pt>
                <c:pt idx="426">
                  <c:v>54705965</c:v>
                </c:pt>
                <c:pt idx="427">
                  <c:v>54990121</c:v>
                </c:pt>
                <c:pt idx="428">
                  <c:v>55005271</c:v>
                </c:pt>
                <c:pt idx="429">
                  <c:v>55020281</c:v>
                </c:pt>
                <c:pt idx="430">
                  <c:v>55034457</c:v>
                </c:pt>
                <c:pt idx="431">
                  <c:v>55055247</c:v>
                </c:pt>
                <c:pt idx="432">
                  <c:v>55071894</c:v>
                </c:pt>
                <c:pt idx="433">
                  <c:v>55085196</c:v>
                </c:pt>
                <c:pt idx="434">
                  <c:v>55098807</c:v>
                </c:pt>
                <c:pt idx="435">
                  <c:v>55112095</c:v>
                </c:pt>
                <c:pt idx="436">
                  <c:v>55132371</c:v>
                </c:pt>
                <c:pt idx="437">
                  <c:v>55162794</c:v>
                </c:pt>
                <c:pt idx="438">
                  <c:v>55196867</c:v>
                </c:pt>
                <c:pt idx="439">
                  <c:v>55214781</c:v>
                </c:pt>
                <c:pt idx="440">
                  <c:v>55229897</c:v>
                </c:pt>
                <c:pt idx="441">
                  <c:v>55253340</c:v>
                </c:pt>
                <c:pt idx="442">
                  <c:v>55299249</c:v>
                </c:pt>
                <c:pt idx="443">
                  <c:v>55323020</c:v>
                </c:pt>
                <c:pt idx="444">
                  <c:v>55342983</c:v>
                </c:pt>
                <c:pt idx="445">
                  <c:v>55368868</c:v>
                </c:pt>
                <c:pt idx="446">
                  <c:v>55385030</c:v>
                </c:pt>
                <c:pt idx="447">
                  <c:v>55407971</c:v>
                </c:pt>
                <c:pt idx="448">
                  <c:v>55421976</c:v>
                </c:pt>
                <c:pt idx="449">
                  <c:v>55436523</c:v>
                </c:pt>
                <c:pt idx="450">
                  <c:v>55456490</c:v>
                </c:pt>
                <c:pt idx="451">
                  <c:v>55474433</c:v>
                </c:pt>
                <c:pt idx="452">
                  <c:v>55494536</c:v>
                </c:pt>
                <c:pt idx="453">
                  <c:v>55509908</c:v>
                </c:pt>
                <c:pt idx="454">
                  <c:v>55523514</c:v>
                </c:pt>
                <c:pt idx="455">
                  <c:v>55537683</c:v>
                </c:pt>
                <c:pt idx="456">
                  <c:v>55552584</c:v>
                </c:pt>
                <c:pt idx="457">
                  <c:v>55913835</c:v>
                </c:pt>
              </c:numCache>
            </c:numRef>
          </c:val>
          <c:smooth val="0"/>
          <c:extLst xmlns:c16r2="http://schemas.microsoft.com/office/drawing/2015/06/chart">
            <c:ext xmlns:c16="http://schemas.microsoft.com/office/drawing/2014/chart" uri="{C3380CC4-5D6E-409C-BE32-E72D297353CC}">
              <c16:uniqueId val="{00000002-6AA7-43A1-B0DE-513D905F46E1}"/>
            </c:ext>
          </c:extLst>
        </c:ser>
        <c:ser>
          <c:idx val="3"/>
          <c:order val="3"/>
          <c:tx>
            <c:strRef>
              <c:f>'Figura 4'!$I$1</c:f>
              <c:strCache>
                <c:ptCount val="1"/>
                <c:pt idx="0">
                  <c:v>Media trimestrale CGC</c:v>
                </c:pt>
              </c:strCache>
            </c:strRef>
          </c:tx>
          <c:spPr>
            <a:ln>
              <a:solidFill>
                <a:srgbClr val="C00000"/>
              </a:solidFill>
              <a:prstDash val="sysDash"/>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4'!$I$2:$I$460</c:f>
              <c:numCache>
                <c:formatCode>General</c:formatCode>
                <c:ptCount val="459"/>
                <c:pt idx="0">
                  <c:v>46532036.649999999</c:v>
                </c:pt>
                <c:pt idx="1">
                  <c:v>46532036.649999999</c:v>
                </c:pt>
                <c:pt idx="2">
                  <c:v>46532036.649999999</c:v>
                </c:pt>
                <c:pt idx="3">
                  <c:v>46532036.649999999</c:v>
                </c:pt>
                <c:pt idx="4">
                  <c:v>46532036.649999999</c:v>
                </c:pt>
                <c:pt idx="5">
                  <c:v>46532036.649999999</c:v>
                </c:pt>
                <c:pt idx="6">
                  <c:v>46532036.649999999</c:v>
                </c:pt>
                <c:pt idx="7">
                  <c:v>46532036.649999999</c:v>
                </c:pt>
                <c:pt idx="8">
                  <c:v>46532036.649999999</c:v>
                </c:pt>
                <c:pt idx="9">
                  <c:v>46532036.649999999</c:v>
                </c:pt>
                <c:pt idx="10">
                  <c:v>46532036.649999999</c:v>
                </c:pt>
                <c:pt idx="11">
                  <c:v>46532036.649999999</c:v>
                </c:pt>
                <c:pt idx="12">
                  <c:v>46532036.649999999</c:v>
                </c:pt>
                <c:pt idx="13">
                  <c:v>46532036.649999999</c:v>
                </c:pt>
                <c:pt idx="14">
                  <c:v>46532036.649999999</c:v>
                </c:pt>
                <c:pt idx="15">
                  <c:v>46532036.649999999</c:v>
                </c:pt>
                <c:pt idx="16">
                  <c:v>46532036.649999999</c:v>
                </c:pt>
                <c:pt idx="17">
                  <c:v>46532036.649999999</c:v>
                </c:pt>
                <c:pt idx="18">
                  <c:v>46532036.649999999</c:v>
                </c:pt>
                <c:pt idx="19">
                  <c:v>46532036.649999999</c:v>
                </c:pt>
                <c:pt idx="20">
                  <c:v>46532036.649999999</c:v>
                </c:pt>
                <c:pt idx="21">
                  <c:v>46532036.649999999</c:v>
                </c:pt>
                <c:pt idx="22">
                  <c:v>46532036.649999999</c:v>
                </c:pt>
                <c:pt idx="23">
                  <c:v>46532036.649999999</c:v>
                </c:pt>
                <c:pt idx="24">
                  <c:v>46532036.649999999</c:v>
                </c:pt>
                <c:pt idx="25">
                  <c:v>46532036.649999999</c:v>
                </c:pt>
                <c:pt idx="26">
                  <c:v>46532036.649999999</c:v>
                </c:pt>
                <c:pt idx="27">
                  <c:v>46532036.649999999</c:v>
                </c:pt>
                <c:pt idx="28">
                  <c:v>46532036.649999999</c:v>
                </c:pt>
                <c:pt idx="29">
                  <c:v>46532036.649999999</c:v>
                </c:pt>
                <c:pt idx="30">
                  <c:v>46532036.649999999</c:v>
                </c:pt>
                <c:pt idx="31">
                  <c:v>46532036.649999999</c:v>
                </c:pt>
                <c:pt idx="32">
                  <c:v>46532036.649999999</c:v>
                </c:pt>
                <c:pt idx="33">
                  <c:v>46532036.649999999</c:v>
                </c:pt>
                <c:pt idx="34">
                  <c:v>46532036.649999999</c:v>
                </c:pt>
                <c:pt idx="35">
                  <c:v>46532036.649999999</c:v>
                </c:pt>
                <c:pt idx="36">
                  <c:v>46532036.649999999</c:v>
                </c:pt>
                <c:pt idx="37">
                  <c:v>46532036.649999999</c:v>
                </c:pt>
                <c:pt idx="38">
                  <c:v>46532036.649999999</c:v>
                </c:pt>
                <c:pt idx="39">
                  <c:v>46532036.649999999</c:v>
                </c:pt>
                <c:pt idx="40">
                  <c:v>46532036.649999999</c:v>
                </c:pt>
                <c:pt idx="41">
                  <c:v>46532036.649999999</c:v>
                </c:pt>
                <c:pt idx="42">
                  <c:v>46532036.649999999</c:v>
                </c:pt>
                <c:pt idx="43">
                  <c:v>46532036.649999999</c:v>
                </c:pt>
                <c:pt idx="44">
                  <c:v>46532036.649999999</c:v>
                </c:pt>
                <c:pt idx="45">
                  <c:v>46532036.649999999</c:v>
                </c:pt>
                <c:pt idx="46">
                  <c:v>46532036.649999999</c:v>
                </c:pt>
                <c:pt idx="47">
                  <c:v>46532036.649999999</c:v>
                </c:pt>
                <c:pt idx="48">
                  <c:v>46532036.649999999</c:v>
                </c:pt>
                <c:pt idx="49">
                  <c:v>46532036.649999999</c:v>
                </c:pt>
                <c:pt idx="50">
                  <c:v>46532036.649999999</c:v>
                </c:pt>
                <c:pt idx="51">
                  <c:v>46532036.649999999</c:v>
                </c:pt>
                <c:pt idx="52">
                  <c:v>46532036.649999999</c:v>
                </c:pt>
                <c:pt idx="53">
                  <c:v>46532036.649999999</c:v>
                </c:pt>
                <c:pt idx="54">
                  <c:v>46532036.649999999</c:v>
                </c:pt>
                <c:pt idx="55">
                  <c:v>46532036.649999999</c:v>
                </c:pt>
                <c:pt idx="56">
                  <c:v>46532036.649999999</c:v>
                </c:pt>
                <c:pt idx="57">
                  <c:v>46532036.649999999</c:v>
                </c:pt>
                <c:pt idx="58">
                  <c:v>46532036.649999999</c:v>
                </c:pt>
                <c:pt idx="59">
                  <c:v>46532036.649999999</c:v>
                </c:pt>
                <c:pt idx="60">
                  <c:v>46532036.649999999</c:v>
                </c:pt>
                <c:pt idx="61">
                  <c:v>46532036.649999999</c:v>
                </c:pt>
                <c:pt idx="62">
                  <c:v>46532036.649999999</c:v>
                </c:pt>
                <c:pt idx="63">
                  <c:v>46532036.649999999</c:v>
                </c:pt>
                <c:pt idx="64">
                  <c:v>46532036.649999999</c:v>
                </c:pt>
                <c:pt idx="65">
                  <c:v>46532036.649999999</c:v>
                </c:pt>
                <c:pt idx="66">
                  <c:v>46532036.649999999</c:v>
                </c:pt>
                <c:pt idx="67">
                  <c:v>46532036.649999999</c:v>
                </c:pt>
                <c:pt idx="68">
                  <c:v>46532036.649999999</c:v>
                </c:pt>
                <c:pt idx="69">
                  <c:v>46532036.649999999</c:v>
                </c:pt>
                <c:pt idx="70">
                  <c:v>46532036.649999999</c:v>
                </c:pt>
                <c:pt idx="71">
                  <c:v>46532036.649999999</c:v>
                </c:pt>
                <c:pt idx="72">
                  <c:v>46532036.649999999</c:v>
                </c:pt>
                <c:pt idx="73">
                  <c:v>46532036.649999999</c:v>
                </c:pt>
                <c:pt idx="74">
                  <c:v>46532036.649999999</c:v>
                </c:pt>
                <c:pt idx="75">
                  <c:v>46532036.649999999</c:v>
                </c:pt>
                <c:pt idx="76">
                  <c:v>46532036.649999999</c:v>
                </c:pt>
                <c:pt idx="77">
                  <c:v>46532036.649999999</c:v>
                </c:pt>
                <c:pt idx="78">
                  <c:v>46532036.649999999</c:v>
                </c:pt>
                <c:pt idx="79">
                  <c:v>46532036.649999999</c:v>
                </c:pt>
                <c:pt idx="80">
                  <c:v>46532036.649999999</c:v>
                </c:pt>
                <c:pt idx="81">
                  <c:v>46532036.649999999</c:v>
                </c:pt>
                <c:pt idx="82">
                  <c:v>46532036.649999999</c:v>
                </c:pt>
                <c:pt idx="83">
                  <c:v>46532036.649999999</c:v>
                </c:pt>
                <c:pt idx="84">
                  <c:v>46532036.649999999</c:v>
                </c:pt>
                <c:pt idx="85">
                  <c:v>46532036.649999999</c:v>
                </c:pt>
                <c:pt idx="86">
                  <c:v>46532036.649999999</c:v>
                </c:pt>
                <c:pt idx="87">
                  <c:v>46532036.649999999</c:v>
                </c:pt>
                <c:pt idx="88">
                  <c:v>46532036.649999999</c:v>
                </c:pt>
                <c:pt idx="89">
                  <c:v>46532036.649999999</c:v>
                </c:pt>
                <c:pt idx="90">
                  <c:v>46532036.649999999</c:v>
                </c:pt>
                <c:pt idx="91">
                  <c:v>46532036.649999999</c:v>
                </c:pt>
                <c:pt idx="92">
                  <c:v>48825996.549999997</c:v>
                </c:pt>
                <c:pt idx="93">
                  <c:v>48825996.549999997</c:v>
                </c:pt>
                <c:pt idx="94">
                  <c:v>48825996.549999997</c:v>
                </c:pt>
                <c:pt idx="95">
                  <c:v>48825996.549999997</c:v>
                </c:pt>
                <c:pt idx="96">
                  <c:v>48825996.549999997</c:v>
                </c:pt>
                <c:pt idx="97">
                  <c:v>48825996.549999997</c:v>
                </c:pt>
                <c:pt idx="98">
                  <c:v>48825996.549999997</c:v>
                </c:pt>
                <c:pt idx="99">
                  <c:v>48825996.549999997</c:v>
                </c:pt>
                <c:pt idx="100">
                  <c:v>48825996.549999997</c:v>
                </c:pt>
                <c:pt idx="101">
                  <c:v>48825996.549999997</c:v>
                </c:pt>
                <c:pt idx="102">
                  <c:v>48825996.549999997</c:v>
                </c:pt>
                <c:pt idx="103">
                  <c:v>48825996.549999997</c:v>
                </c:pt>
                <c:pt idx="104">
                  <c:v>48825996.549999997</c:v>
                </c:pt>
                <c:pt idx="105">
                  <c:v>48825996.549999997</c:v>
                </c:pt>
                <c:pt idx="106">
                  <c:v>48825996.549999997</c:v>
                </c:pt>
                <c:pt idx="107">
                  <c:v>48825996.549999997</c:v>
                </c:pt>
                <c:pt idx="108">
                  <c:v>48825996.549999997</c:v>
                </c:pt>
                <c:pt idx="109">
                  <c:v>48825996.549999997</c:v>
                </c:pt>
                <c:pt idx="110">
                  <c:v>48825996.549999997</c:v>
                </c:pt>
                <c:pt idx="111">
                  <c:v>48825996.549999997</c:v>
                </c:pt>
                <c:pt idx="112">
                  <c:v>48825996.549999997</c:v>
                </c:pt>
                <c:pt idx="113">
                  <c:v>48825996.549999997</c:v>
                </c:pt>
                <c:pt idx="114">
                  <c:v>48825996.549999997</c:v>
                </c:pt>
                <c:pt idx="115">
                  <c:v>48825996.549999997</c:v>
                </c:pt>
                <c:pt idx="116">
                  <c:v>48825996.549999997</c:v>
                </c:pt>
                <c:pt idx="117">
                  <c:v>48825996.549999997</c:v>
                </c:pt>
                <c:pt idx="118">
                  <c:v>48825996.549999997</c:v>
                </c:pt>
                <c:pt idx="119">
                  <c:v>48825996.549999997</c:v>
                </c:pt>
                <c:pt idx="120">
                  <c:v>48825996.549999997</c:v>
                </c:pt>
                <c:pt idx="121">
                  <c:v>48825996.549999997</c:v>
                </c:pt>
                <c:pt idx="122">
                  <c:v>48825996.549999997</c:v>
                </c:pt>
                <c:pt idx="123">
                  <c:v>48825996.549999997</c:v>
                </c:pt>
                <c:pt idx="124">
                  <c:v>48825996.549999997</c:v>
                </c:pt>
                <c:pt idx="125">
                  <c:v>48825996.549999997</c:v>
                </c:pt>
                <c:pt idx="126">
                  <c:v>48825996.549999997</c:v>
                </c:pt>
                <c:pt idx="127">
                  <c:v>48825996.549999997</c:v>
                </c:pt>
                <c:pt idx="128">
                  <c:v>48825996.549999997</c:v>
                </c:pt>
                <c:pt idx="129">
                  <c:v>48825996.549999997</c:v>
                </c:pt>
                <c:pt idx="130">
                  <c:v>48825996.549999997</c:v>
                </c:pt>
                <c:pt idx="131">
                  <c:v>48825996.549999997</c:v>
                </c:pt>
                <c:pt idx="132">
                  <c:v>48825996.549999997</c:v>
                </c:pt>
                <c:pt idx="133">
                  <c:v>48825996.549999997</c:v>
                </c:pt>
                <c:pt idx="134">
                  <c:v>48825996.549999997</c:v>
                </c:pt>
                <c:pt idx="135">
                  <c:v>48825996.549999997</c:v>
                </c:pt>
                <c:pt idx="136">
                  <c:v>48825996.549999997</c:v>
                </c:pt>
                <c:pt idx="137">
                  <c:v>48825996.549999997</c:v>
                </c:pt>
                <c:pt idx="138">
                  <c:v>48825996.549999997</c:v>
                </c:pt>
                <c:pt idx="139">
                  <c:v>48825996.549999997</c:v>
                </c:pt>
                <c:pt idx="140">
                  <c:v>48825996.549999997</c:v>
                </c:pt>
                <c:pt idx="141">
                  <c:v>48825996.549999997</c:v>
                </c:pt>
                <c:pt idx="142">
                  <c:v>48825996.549999997</c:v>
                </c:pt>
                <c:pt idx="143">
                  <c:v>48825996.549999997</c:v>
                </c:pt>
                <c:pt idx="144">
                  <c:v>48825996.549999997</c:v>
                </c:pt>
                <c:pt idx="145">
                  <c:v>48825996.549999997</c:v>
                </c:pt>
                <c:pt idx="146">
                  <c:v>48825996.549999997</c:v>
                </c:pt>
                <c:pt idx="147">
                  <c:v>48825996.549999997</c:v>
                </c:pt>
                <c:pt idx="148">
                  <c:v>48825996.549999997</c:v>
                </c:pt>
                <c:pt idx="149">
                  <c:v>48825996.549999997</c:v>
                </c:pt>
                <c:pt idx="150">
                  <c:v>48825996.549999997</c:v>
                </c:pt>
                <c:pt idx="151">
                  <c:v>48825996.549999997</c:v>
                </c:pt>
                <c:pt idx="152">
                  <c:v>48825996.549999997</c:v>
                </c:pt>
                <c:pt idx="153">
                  <c:v>48825996.549999997</c:v>
                </c:pt>
                <c:pt idx="154">
                  <c:v>48825996.549999997</c:v>
                </c:pt>
                <c:pt idx="155">
                  <c:v>48825996.549999997</c:v>
                </c:pt>
                <c:pt idx="156">
                  <c:v>48825996.549999997</c:v>
                </c:pt>
                <c:pt idx="157">
                  <c:v>48825996.549999997</c:v>
                </c:pt>
                <c:pt idx="158">
                  <c:v>48825996.549999997</c:v>
                </c:pt>
                <c:pt idx="159">
                  <c:v>48825996.549999997</c:v>
                </c:pt>
                <c:pt idx="160">
                  <c:v>48825996.549999997</c:v>
                </c:pt>
                <c:pt idx="161">
                  <c:v>48825996.549999997</c:v>
                </c:pt>
                <c:pt idx="162">
                  <c:v>48825996.549999997</c:v>
                </c:pt>
                <c:pt idx="163">
                  <c:v>48825996.549999997</c:v>
                </c:pt>
                <c:pt idx="164">
                  <c:v>48825996.549999997</c:v>
                </c:pt>
                <c:pt idx="165">
                  <c:v>48825996.549999997</c:v>
                </c:pt>
                <c:pt idx="166">
                  <c:v>48825996.549999997</c:v>
                </c:pt>
                <c:pt idx="167">
                  <c:v>48825996.549999997</c:v>
                </c:pt>
                <c:pt idx="168">
                  <c:v>48825996.549999997</c:v>
                </c:pt>
                <c:pt idx="169">
                  <c:v>48825996.549999997</c:v>
                </c:pt>
                <c:pt idx="170">
                  <c:v>48825996.549999997</c:v>
                </c:pt>
                <c:pt idx="171">
                  <c:v>48825996.549999997</c:v>
                </c:pt>
                <c:pt idx="172">
                  <c:v>48825996.549999997</c:v>
                </c:pt>
                <c:pt idx="173">
                  <c:v>48825996.549999997</c:v>
                </c:pt>
                <c:pt idx="174">
                  <c:v>48825996.549999997</c:v>
                </c:pt>
                <c:pt idx="175">
                  <c:v>48825996.549999997</c:v>
                </c:pt>
                <c:pt idx="176">
                  <c:v>48825996.549999997</c:v>
                </c:pt>
                <c:pt idx="177">
                  <c:v>48825996.549999997</c:v>
                </c:pt>
                <c:pt idx="178">
                  <c:v>48825996.549999997</c:v>
                </c:pt>
                <c:pt idx="179">
                  <c:v>48825996.549999997</c:v>
                </c:pt>
                <c:pt idx="180">
                  <c:v>48825996.549999997</c:v>
                </c:pt>
                <c:pt idx="181">
                  <c:v>48825996.549999997</c:v>
                </c:pt>
                <c:pt idx="182">
                  <c:v>48825996.549999997</c:v>
                </c:pt>
                <c:pt idx="183">
                  <c:v>48825996.549999997</c:v>
                </c:pt>
                <c:pt idx="184">
                  <c:v>51095393.960000001</c:v>
                </c:pt>
                <c:pt idx="185">
                  <c:v>51095393.960000001</c:v>
                </c:pt>
                <c:pt idx="186">
                  <c:v>51095393.960000001</c:v>
                </c:pt>
                <c:pt idx="187">
                  <c:v>51095393.960000001</c:v>
                </c:pt>
                <c:pt idx="188">
                  <c:v>51095393.960000001</c:v>
                </c:pt>
                <c:pt idx="189">
                  <c:v>51095393.960000001</c:v>
                </c:pt>
                <c:pt idx="190">
                  <c:v>51095393.960000001</c:v>
                </c:pt>
                <c:pt idx="191">
                  <c:v>51095393.960000001</c:v>
                </c:pt>
                <c:pt idx="192">
                  <c:v>51095393.960000001</c:v>
                </c:pt>
                <c:pt idx="193">
                  <c:v>51095393.960000001</c:v>
                </c:pt>
                <c:pt idx="194">
                  <c:v>51095393.960000001</c:v>
                </c:pt>
                <c:pt idx="195">
                  <c:v>51095393.960000001</c:v>
                </c:pt>
                <c:pt idx="196">
                  <c:v>51095393.960000001</c:v>
                </c:pt>
                <c:pt idx="197">
                  <c:v>51095393.960000001</c:v>
                </c:pt>
                <c:pt idx="198">
                  <c:v>51095393.960000001</c:v>
                </c:pt>
                <c:pt idx="199">
                  <c:v>51095393.960000001</c:v>
                </c:pt>
                <c:pt idx="200">
                  <c:v>51095393.960000001</c:v>
                </c:pt>
                <c:pt idx="201">
                  <c:v>51095393.960000001</c:v>
                </c:pt>
                <c:pt idx="202">
                  <c:v>51095393.960000001</c:v>
                </c:pt>
                <c:pt idx="203">
                  <c:v>51095393.960000001</c:v>
                </c:pt>
                <c:pt idx="204">
                  <c:v>51095393.960000001</c:v>
                </c:pt>
                <c:pt idx="205">
                  <c:v>51095393.960000001</c:v>
                </c:pt>
                <c:pt idx="206">
                  <c:v>51095393.960000001</c:v>
                </c:pt>
                <c:pt idx="207">
                  <c:v>51095393.960000001</c:v>
                </c:pt>
                <c:pt idx="208">
                  <c:v>51095393.960000001</c:v>
                </c:pt>
                <c:pt idx="209">
                  <c:v>51095393.960000001</c:v>
                </c:pt>
                <c:pt idx="210">
                  <c:v>51095393.960000001</c:v>
                </c:pt>
                <c:pt idx="211">
                  <c:v>51095393.960000001</c:v>
                </c:pt>
                <c:pt idx="212">
                  <c:v>51095393.960000001</c:v>
                </c:pt>
                <c:pt idx="213">
                  <c:v>51095393.960000001</c:v>
                </c:pt>
                <c:pt idx="214">
                  <c:v>51095393.960000001</c:v>
                </c:pt>
                <c:pt idx="215">
                  <c:v>51095393.960000001</c:v>
                </c:pt>
                <c:pt idx="216">
                  <c:v>51095393.960000001</c:v>
                </c:pt>
                <c:pt idx="217">
                  <c:v>51095393.960000001</c:v>
                </c:pt>
                <c:pt idx="218">
                  <c:v>51095393.960000001</c:v>
                </c:pt>
                <c:pt idx="219">
                  <c:v>51095393.960000001</c:v>
                </c:pt>
                <c:pt idx="220">
                  <c:v>51095393.960000001</c:v>
                </c:pt>
                <c:pt idx="221">
                  <c:v>51095393.960000001</c:v>
                </c:pt>
                <c:pt idx="222">
                  <c:v>51095393.960000001</c:v>
                </c:pt>
                <c:pt idx="223">
                  <c:v>51095393.960000001</c:v>
                </c:pt>
                <c:pt idx="224">
                  <c:v>51095393.960000001</c:v>
                </c:pt>
                <c:pt idx="225">
                  <c:v>51095393.960000001</c:v>
                </c:pt>
                <c:pt idx="226">
                  <c:v>51095393.960000001</c:v>
                </c:pt>
                <c:pt idx="227">
                  <c:v>51095393.960000001</c:v>
                </c:pt>
                <c:pt idx="228">
                  <c:v>51095393.960000001</c:v>
                </c:pt>
                <c:pt idx="229">
                  <c:v>51095393.960000001</c:v>
                </c:pt>
                <c:pt idx="230">
                  <c:v>51095393.960000001</c:v>
                </c:pt>
                <c:pt idx="231">
                  <c:v>51095393.960000001</c:v>
                </c:pt>
                <c:pt idx="232">
                  <c:v>51095393.960000001</c:v>
                </c:pt>
                <c:pt idx="233">
                  <c:v>51095393.960000001</c:v>
                </c:pt>
                <c:pt idx="234">
                  <c:v>51095393.960000001</c:v>
                </c:pt>
                <c:pt idx="235">
                  <c:v>51095393.960000001</c:v>
                </c:pt>
                <c:pt idx="236">
                  <c:v>51095393.960000001</c:v>
                </c:pt>
                <c:pt idx="237">
                  <c:v>51095393.960000001</c:v>
                </c:pt>
                <c:pt idx="238">
                  <c:v>51095393.960000001</c:v>
                </c:pt>
                <c:pt idx="239">
                  <c:v>51095393.960000001</c:v>
                </c:pt>
                <c:pt idx="240">
                  <c:v>51095393.960000001</c:v>
                </c:pt>
                <c:pt idx="241">
                  <c:v>51095393.960000001</c:v>
                </c:pt>
                <c:pt idx="242">
                  <c:v>51095393.960000001</c:v>
                </c:pt>
                <c:pt idx="243">
                  <c:v>51095393.960000001</c:v>
                </c:pt>
                <c:pt idx="244">
                  <c:v>51095393.960000001</c:v>
                </c:pt>
                <c:pt idx="245">
                  <c:v>51095393.960000001</c:v>
                </c:pt>
                <c:pt idx="246">
                  <c:v>51095393.960000001</c:v>
                </c:pt>
                <c:pt idx="247">
                  <c:v>51095393.960000001</c:v>
                </c:pt>
                <c:pt idx="248">
                  <c:v>51095393.960000001</c:v>
                </c:pt>
                <c:pt idx="249">
                  <c:v>51095393.960000001</c:v>
                </c:pt>
                <c:pt idx="250">
                  <c:v>51095393.960000001</c:v>
                </c:pt>
                <c:pt idx="251">
                  <c:v>51095393.960000001</c:v>
                </c:pt>
                <c:pt idx="252">
                  <c:v>51095393.960000001</c:v>
                </c:pt>
                <c:pt idx="253">
                  <c:v>51095393.960000001</c:v>
                </c:pt>
                <c:pt idx="254">
                  <c:v>51095393.960000001</c:v>
                </c:pt>
                <c:pt idx="255">
                  <c:v>51095393.960000001</c:v>
                </c:pt>
                <c:pt idx="256">
                  <c:v>51095393.960000001</c:v>
                </c:pt>
                <c:pt idx="257">
                  <c:v>51095393.960000001</c:v>
                </c:pt>
                <c:pt idx="258">
                  <c:v>51095393.960000001</c:v>
                </c:pt>
                <c:pt idx="259">
                  <c:v>51095393.960000001</c:v>
                </c:pt>
                <c:pt idx="260">
                  <c:v>51095393.960000001</c:v>
                </c:pt>
                <c:pt idx="261">
                  <c:v>51095393.960000001</c:v>
                </c:pt>
                <c:pt idx="262">
                  <c:v>51095393.960000001</c:v>
                </c:pt>
                <c:pt idx="263">
                  <c:v>51095393.960000001</c:v>
                </c:pt>
                <c:pt idx="264">
                  <c:v>51095393.960000001</c:v>
                </c:pt>
                <c:pt idx="265">
                  <c:v>51095393.960000001</c:v>
                </c:pt>
                <c:pt idx="266">
                  <c:v>51095393.960000001</c:v>
                </c:pt>
                <c:pt idx="267">
                  <c:v>51095393.960000001</c:v>
                </c:pt>
                <c:pt idx="268">
                  <c:v>51095393.960000001</c:v>
                </c:pt>
                <c:pt idx="269">
                  <c:v>51095393.960000001</c:v>
                </c:pt>
                <c:pt idx="270">
                  <c:v>51095393.960000001</c:v>
                </c:pt>
                <c:pt idx="271">
                  <c:v>51095393.960000001</c:v>
                </c:pt>
                <c:pt idx="272">
                  <c:v>51095393.960000001</c:v>
                </c:pt>
                <c:pt idx="273">
                  <c:v>51095393.960000001</c:v>
                </c:pt>
                <c:pt idx="274">
                  <c:v>51095393.960000001</c:v>
                </c:pt>
                <c:pt idx="275">
                  <c:v>52616083.189999998</c:v>
                </c:pt>
                <c:pt idx="276">
                  <c:v>52616083.189999998</c:v>
                </c:pt>
                <c:pt idx="277">
                  <c:v>52616083.189999998</c:v>
                </c:pt>
                <c:pt idx="278">
                  <c:v>52616083.189999998</c:v>
                </c:pt>
                <c:pt idx="279">
                  <c:v>52616083.189999998</c:v>
                </c:pt>
                <c:pt idx="280">
                  <c:v>52616083.189999998</c:v>
                </c:pt>
                <c:pt idx="281">
                  <c:v>52616083.189999998</c:v>
                </c:pt>
                <c:pt idx="282">
                  <c:v>52616083.189999998</c:v>
                </c:pt>
                <c:pt idx="283">
                  <c:v>52616083.189999998</c:v>
                </c:pt>
                <c:pt idx="284">
                  <c:v>52616083.189999998</c:v>
                </c:pt>
                <c:pt idx="285">
                  <c:v>52616083.189999998</c:v>
                </c:pt>
                <c:pt idx="286">
                  <c:v>52616083.189999998</c:v>
                </c:pt>
                <c:pt idx="287">
                  <c:v>52616083.189999998</c:v>
                </c:pt>
                <c:pt idx="288">
                  <c:v>52616083.189999998</c:v>
                </c:pt>
                <c:pt idx="289">
                  <c:v>52616083.189999998</c:v>
                </c:pt>
                <c:pt idx="290">
                  <c:v>52616083.189999998</c:v>
                </c:pt>
                <c:pt idx="291">
                  <c:v>52616083.189999998</c:v>
                </c:pt>
                <c:pt idx="292">
                  <c:v>52616083.189999998</c:v>
                </c:pt>
                <c:pt idx="293">
                  <c:v>52616083.189999998</c:v>
                </c:pt>
                <c:pt idx="294">
                  <c:v>52616083.189999998</c:v>
                </c:pt>
                <c:pt idx="295">
                  <c:v>52616083.189999998</c:v>
                </c:pt>
                <c:pt idx="296">
                  <c:v>52616083.189999998</c:v>
                </c:pt>
                <c:pt idx="297">
                  <c:v>52616083.189999998</c:v>
                </c:pt>
                <c:pt idx="298">
                  <c:v>52616083.189999998</c:v>
                </c:pt>
                <c:pt idx="299">
                  <c:v>52616083.189999998</c:v>
                </c:pt>
                <c:pt idx="300">
                  <c:v>52616083.189999998</c:v>
                </c:pt>
                <c:pt idx="301">
                  <c:v>52616083.189999998</c:v>
                </c:pt>
                <c:pt idx="302">
                  <c:v>52616083.189999998</c:v>
                </c:pt>
                <c:pt idx="303">
                  <c:v>52616083.189999998</c:v>
                </c:pt>
                <c:pt idx="304">
                  <c:v>52616083.189999998</c:v>
                </c:pt>
                <c:pt idx="305">
                  <c:v>52616083.189999998</c:v>
                </c:pt>
                <c:pt idx="306">
                  <c:v>52616083.189999998</c:v>
                </c:pt>
                <c:pt idx="307">
                  <c:v>52616083.189999998</c:v>
                </c:pt>
                <c:pt idx="308">
                  <c:v>52616083.189999998</c:v>
                </c:pt>
                <c:pt idx="309">
                  <c:v>52616083.189999998</c:v>
                </c:pt>
                <c:pt idx="310">
                  <c:v>52616083.189999998</c:v>
                </c:pt>
                <c:pt idx="311">
                  <c:v>52616083.189999998</c:v>
                </c:pt>
                <c:pt idx="312">
                  <c:v>52616083.189999998</c:v>
                </c:pt>
                <c:pt idx="313">
                  <c:v>52616083.189999998</c:v>
                </c:pt>
                <c:pt idx="314">
                  <c:v>52616083.189999998</c:v>
                </c:pt>
                <c:pt idx="315">
                  <c:v>52616083.189999998</c:v>
                </c:pt>
                <c:pt idx="316">
                  <c:v>52616083.189999998</c:v>
                </c:pt>
                <c:pt idx="317">
                  <c:v>52616083.189999998</c:v>
                </c:pt>
                <c:pt idx="318">
                  <c:v>52616083.189999998</c:v>
                </c:pt>
                <c:pt idx="319">
                  <c:v>52616083.189999998</c:v>
                </c:pt>
                <c:pt idx="320">
                  <c:v>52616083.189999998</c:v>
                </c:pt>
                <c:pt idx="321">
                  <c:v>52616083.189999998</c:v>
                </c:pt>
                <c:pt idx="322">
                  <c:v>52616083.189999998</c:v>
                </c:pt>
                <c:pt idx="323">
                  <c:v>52616083.189999998</c:v>
                </c:pt>
                <c:pt idx="324">
                  <c:v>52616083.189999998</c:v>
                </c:pt>
                <c:pt idx="325">
                  <c:v>52616083.189999998</c:v>
                </c:pt>
                <c:pt idx="326">
                  <c:v>52616083.189999998</c:v>
                </c:pt>
                <c:pt idx="327">
                  <c:v>52616083.189999998</c:v>
                </c:pt>
                <c:pt idx="328">
                  <c:v>52616083.189999998</c:v>
                </c:pt>
                <c:pt idx="329">
                  <c:v>52616083.189999998</c:v>
                </c:pt>
                <c:pt idx="330">
                  <c:v>52616083.189999998</c:v>
                </c:pt>
                <c:pt idx="331">
                  <c:v>52616083.189999998</c:v>
                </c:pt>
                <c:pt idx="332">
                  <c:v>52616083.189999998</c:v>
                </c:pt>
                <c:pt idx="333">
                  <c:v>52616083.189999998</c:v>
                </c:pt>
                <c:pt idx="334">
                  <c:v>52616083.189999998</c:v>
                </c:pt>
                <c:pt idx="335">
                  <c:v>52616083.189999998</c:v>
                </c:pt>
                <c:pt idx="336">
                  <c:v>52616083.189999998</c:v>
                </c:pt>
                <c:pt idx="337">
                  <c:v>52616083.189999998</c:v>
                </c:pt>
                <c:pt idx="338">
                  <c:v>52616083.189999998</c:v>
                </c:pt>
                <c:pt idx="339">
                  <c:v>52616083.189999998</c:v>
                </c:pt>
                <c:pt idx="340">
                  <c:v>52616083.189999998</c:v>
                </c:pt>
                <c:pt idx="341">
                  <c:v>52616083.189999998</c:v>
                </c:pt>
                <c:pt idx="342">
                  <c:v>52616083.189999998</c:v>
                </c:pt>
                <c:pt idx="343">
                  <c:v>52616083.189999998</c:v>
                </c:pt>
                <c:pt idx="344">
                  <c:v>52616083.189999998</c:v>
                </c:pt>
                <c:pt idx="345">
                  <c:v>52616083.189999998</c:v>
                </c:pt>
                <c:pt idx="346">
                  <c:v>52616083.189999998</c:v>
                </c:pt>
                <c:pt idx="347">
                  <c:v>52616083.189999998</c:v>
                </c:pt>
                <c:pt idx="348">
                  <c:v>52616083.189999998</c:v>
                </c:pt>
                <c:pt idx="349">
                  <c:v>52616083.189999998</c:v>
                </c:pt>
                <c:pt idx="350">
                  <c:v>52616083.189999998</c:v>
                </c:pt>
                <c:pt idx="351">
                  <c:v>52616083.189999998</c:v>
                </c:pt>
                <c:pt idx="352">
                  <c:v>52616083.189999998</c:v>
                </c:pt>
                <c:pt idx="353">
                  <c:v>52616083.189999998</c:v>
                </c:pt>
                <c:pt idx="354">
                  <c:v>52616083.189999998</c:v>
                </c:pt>
                <c:pt idx="355">
                  <c:v>52616083.189999998</c:v>
                </c:pt>
                <c:pt idx="356">
                  <c:v>52616083.189999998</c:v>
                </c:pt>
                <c:pt idx="357">
                  <c:v>52616083.189999998</c:v>
                </c:pt>
                <c:pt idx="358">
                  <c:v>52616083.189999998</c:v>
                </c:pt>
                <c:pt idx="359">
                  <c:v>52616083.189999998</c:v>
                </c:pt>
                <c:pt idx="360">
                  <c:v>52616083.189999998</c:v>
                </c:pt>
                <c:pt idx="361">
                  <c:v>52616083.189999998</c:v>
                </c:pt>
                <c:pt idx="362">
                  <c:v>52616083.189999998</c:v>
                </c:pt>
                <c:pt idx="363">
                  <c:v>52616083.189999998</c:v>
                </c:pt>
                <c:pt idx="364">
                  <c:v>52616083.189999998</c:v>
                </c:pt>
                <c:pt idx="365">
                  <c:v>52616083.189999998</c:v>
                </c:pt>
                <c:pt idx="366">
                  <c:v>54632544.600000001</c:v>
                </c:pt>
                <c:pt idx="367">
                  <c:v>54632544.600000001</c:v>
                </c:pt>
                <c:pt idx="368">
                  <c:v>54632544.600000001</c:v>
                </c:pt>
                <c:pt idx="369">
                  <c:v>54632544.600000001</c:v>
                </c:pt>
                <c:pt idx="370">
                  <c:v>54632544.600000001</c:v>
                </c:pt>
                <c:pt idx="371">
                  <c:v>54632544.600000001</c:v>
                </c:pt>
                <c:pt idx="372">
                  <c:v>54632544.600000001</c:v>
                </c:pt>
                <c:pt idx="373">
                  <c:v>54632544.600000001</c:v>
                </c:pt>
                <c:pt idx="374">
                  <c:v>54632544.600000001</c:v>
                </c:pt>
                <c:pt idx="375">
                  <c:v>54632544.600000001</c:v>
                </c:pt>
                <c:pt idx="376">
                  <c:v>54632544.600000001</c:v>
                </c:pt>
                <c:pt idx="377">
                  <c:v>54632544.600000001</c:v>
                </c:pt>
                <c:pt idx="378">
                  <c:v>54632544.600000001</c:v>
                </c:pt>
                <c:pt idx="379">
                  <c:v>54632544.600000001</c:v>
                </c:pt>
                <c:pt idx="380">
                  <c:v>54632544.600000001</c:v>
                </c:pt>
                <c:pt idx="381">
                  <c:v>54632544.600000001</c:v>
                </c:pt>
                <c:pt idx="382">
                  <c:v>54632544.600000001</c:v>
                </c:pt>
                <c:pt idx="383">
                  <c:v>54632544.600000001</c:v>
                </c:pt>
                <c:pt idx="384">
                  <c:v>54632544.600000001</c:v>
                </c:pt>
                <c:pt idx="385">
                  <c:v>54632544.600000001</c:v>
                </c:pt>
                <c:pt idx="386">
                  <c:v>54632544.600000001</c:v>
                </c:pt>
                <c:pt idx="387">
                  <c:v>54632544.600000001</c:v>
                </c:pt>
                <c:pt idx="388">
                  <c:v>54632544.600000001</c:v>
                </c:pt>
                <c:pt idx="389">
                  <c:v>54632544.600000001</c:v>
                </c:pt>
                <c:pt idx="390">
                  <c:v>54632544.600000001</c:v>
                </c:pt>
                <c:pt idx="391">
                  <c:v>54632544.600000001</c:v>
                </c:pt>
                <c:pt idx="392">
                  <c:v>54632544.600000001</c:v>
                </c:pt>
                <c:pt idx="393">
                  <c:v>54632544.600000001</c:v>
                </c:pt>
                <c:pt idx="394">
                  <c:v>54632544.600000001</c:v>
                </c:pt>
                <c:pt idx="395">
                  <c:v>54632544.600000001</c:v>
                </c:pt>
                <c:pt idx="396">
                  <c:v>54632544.600000001</c:v>
                </c:pt>
                <c:pt idx="397">
                  <c:v>54632544.600000001</c:v>
                </c:pt>
                <c:pt idx="398">
                  <c:v>54632544.600000001</c:v>
                </c:pt>
                <c:pt idx="399">
                  <c:v>54632544.600000001</c:v>
                </c:pt>
                <c:pt idx="400">
                  <c:v>54632544.600000001</c:v>
                </c:pt>
                <c:pt idx="401">
                  <c:v>54632544.600000001</c:v>
                </c:pt>
                <c:pt idx="402">
                  <c:v>54632544.600000001</c:v>
                </c:pt>
                <c:pt idx="403">
                  <c:v>54632544.600000001</c:v>
                </c:pt>
                <c:pt idx="404">
                  <c:v>54632544.600000001</c:v>
                </c:pt>
                <c:pt idx="405">
                  <c:v>54632544.600000001</c:v>
                </c:pt>
                <c:pt idx="406">
                  <c:v>54632544.600000001</c:v>
                </c:pt>
                <c:pt idx="407">
                  <c:v>54632544.600000001</c:v>
                </c:pt>
                <c:pt idx="408">
                  <c:v>54632544.600000001</c:v>
                </c:pt>
                <c:pt idx="409">
                  <c:v>54632544.600000001</c:v>
                </c:pt>
                <c:pt idx="410">
                  <c:v>54632544.600000001</c:v>
                </c:pt>
                <c:pt idx="411">
                  <c:v>54632544.600000001</c:v>
                </c:pt>
                <c:pt idx="412">
                  <c:v>54632544.600000001</c:v>
                </c:pt>
                <c:pt idx="413">
                  <c:v>54632544.600000001</c:v>
                </c:pt>
                <c:pt idx="414">
                  <c:v>54632544.600000001</c:v>
                </c:pt>
                <c:pt idx="415">
                  <c:v>54632544.600000001</c:v>
                </c:pt>
                <c:pt idx="416">
                  <c:v>54632544.600000001</c:v>
                </c:pt>
                <c:pt idx="417">
                  <c:v>54632544.600000001</c:v>
                </c:pt>
                <c:pt idx="418">
                  <c:v>54632544.600000001</c:v>
                </c:pt>
                <c:pt idx="419">
                  <c:v>54632544.600000001</c:v>
                </c:pt>
                <c:pt idx="420">
                  <c:v>54632544.600000001</c:v>
                </c:pt>
                <c:pt idx="421">
                  <c:v>54632544.600000001</c:v>
                </c:pt>
                <c:pt idx="422">
                  <c:v>54632544.600000001</c:v>
                </c:pt>
                <c:pt idx="423">
                  <c:v>54632544.600000001</c:v>
                </c:pt>
                <c:pt idx="424">
                  <c:v>54632544.600000001</c:v>
                </c:pt>
                <c:pt idx="425">
                  <c:v>54632544.600000001</c:v>
                </c:pt>
                <c:pt idx="426">
                  <c:v>54632544.600000001</c:v>
                </c:pt>
                <c:pt idx="427">
                  <c:v>54632544.600000001</c:v>
                </c:pt>
                <c:pt idx="428">
                  <c:v>54632544.600000001</c:v>
                </c:pt>
                <c:pt idx="429">
                  <c:v>54632544.600000001</c:v>
                </c:pt>
                <c:pt idx="430">
                  <c:v>54632544.600000001</c:v>
                </c:pt>
                <c:pt idx="431">
                  <c:v>54632544.600000001</c:v>
                </c:pt>
                <c:pt idx="432">
                  <c:v>54632544.600000001</c:v>
                </c:pt>
                <c:pt idx="433">
                  <c:v>54632544.600000001</c:v>
                </c:pt>
                <c:pt idx="434">
                  <c:v>54632544.600000001</c:v>
                </c:pt>
                <c:pt idx="435">
                  <c:v>54632544.600000001</c:v>
                </c:pt>
                <c:pt idx="436">
                  <c:v>54632544.600000001</c:v>
                </c:pt>
                <c:pt idx="437">
                  <c:v>54632544.600000001</c:v>
                </c:pt>
                <c:pt idx="438">
                  <c:v>54632544.600000001</c:v>
                </c:pt>
                <c:pt idx="439">
                  <c:v>54632544.600000001</c:v>
                </c:pt>
                <c:pt idx="440">
                  <c:v>54632544.600000001</c:v>
                </c:pt>
                <c:pt idx="441">
                  <c:v>54632544.600000001</c:v>
                </c:pt>
                <c:pt idx="442">
                  <c:v>54632544.600000001</c:v>
                </c:pt>
                <c:pt idx="443">
                  <c:v>54632544.600000001</c:v>
                </c:pt>
                <c:pt idx="444">
                  <c:v>54632544.600000001</c:v>
                </c:pt>
                <c:pt idx="445">
                  <c:v>54632544.600000001</c:v>
                </c:pt>
                <c:pt idx="446">
                  <c:v>54632544.600000001</c:v>
                </c:pt>
                <c:pt idx="447">
                  <c:v>54632544.600000001</c:v>
                </c:pt>
                <c:pt idx="448">
                  <c:v>54632544.600000001</c:v>
                </c:pt>
                <c:pt idx="449">
                  <c:v>54632544.600000001</c:v>
                </c:pt>
                <c:pt idx="450">
                  <c:v>54632544.600000001</c:v>
                </c:pt>
                <c:pt idx="451">
                  <c:v>54632544.600000001</c:v>
                </c:pt>
                <c:pt idx="452">
                  <c:v>54632544.600000001</c:v>
                </c:pt>
                <c:pt idx="453">
                  <c:v>54632544.600000001</c:v>
                </c:pt>
                <c:pt idx="454">
                  <c:v>54632544.600000001</c:v>
                </c:pt>
                <c:pt idx="455">
                  <c:v>54632544.600000001</c:v>
                </c:pt>
                <c:pt idx="456">
                  <c:v>54632544.600000001</c:v>
                </c:pt>
                <c:pt idx="457">
                  <c:v>54632544.600000001</c:v>
                </c:pt>
              </c:numCache>
            </c:numRef>
          </c:val>
          <c:smooth val="0"/>
          <c:extLst xmlns:c16r2="http://schemas.microsoft.com/office/drawing/2015/06/chart">
            <c:ext xmlns:c16="http://schemas.microsoft.com/office/drawing/2014/chart" uri="{C3380CC4-5D6E-409C-BE32-E72D297353CC}">
              <c16:uniqueId val="{00000003-6AA7-43A1-B0DE-513D905F46E1}"/>
            </c:ext>
          </c:extLst>
        </c:ser>
        <c:dLbls>
          <c:showLegendKey val="0"/>
          <c:showVal val="0"/>
          <c:showCatName val="0"/>
          <c:showSerName val="0"/>
          <c:showPercent val="0"/>
          <c:showBubbleSize val="0"/>
        </c:dLbls>
        <c:smooth val="0"/>
        <c:axId val="293755456"/>
        <c:axId val="293762176"/>
      </c:lineChart>
      <c:catAx>
        <c:axId val="293755456"/>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it-IT"/>
          </a:p>
        </c:txPr>
        <c:crossAx val="293762176"/>
        <c:crosses val="autoZero"/>
        <c:auto val="1"/>
        <c:lblAlgn val="ctr"/>
        <c:lblOffset val="100"/>
        <c:noMultiLvlLbl val="0"/>
      </c:catAx>
      <c:valAx>
        <c:axId val="293762176"/>
        <c:scaling>
          <c:orientation val="minMax"/>
          <c:max val="57600000"/>
          <c:min val="45000000"/>
        </c:scaling>
        <c:delete val="0"/>
        <c:axPos val="l"/>
        <c:majorGridlines>
          <c:spPr>
            <a:ln>
              <a:noFill/>
            </a:ln>
          </c:spPr>
        </c:majorGridlines>
        <c:numFmt formatCode="#,##0" sourceLinked="0"/>
        <c:majorTickMark val="out"/>
        <c:minorTickMark val="none"/>
        <c:tickLblPos val="nextTo"/>
        <c:spPr>
          <a:ln>
            <a:noFill/>
          </a:ln>
        </c:spPr>
        <c:txPr>
          <a:bodyPr/>
          <a:lstStyle/>
          <a:p>
            <a:pPr>
              <a:defRPr sz="800">
                <a:latin typeface="Arial Narrow" panose="020B0606020202030204" pitchFamily="34" charset="0"/>
              </a:defRPr>
            </a:pPr>
            <a:endParaRPr lang="it-IT"/>
          </a:p>
        </c:txPr>
        <c:crossAx val="293755456"/>
        <c:crosses val="autoZero"/>
        <c:crossBetween val="between"/>
      </c:valAx>
    </c:plotArea>
    <c:legend>
      <c:legendPos val="r"/>
      <c:layout>
        <c:manualLayout>
          <c:xMode val="edge"/>
          <c:yMode val="edge"/>
          <c:x val="0.64278745872162557"/>
          <c:y val="0.41274629403718893"/>
          <c:w val="0.34477086165162479"/>
          <c:h val="0.27466341355217921"/>
        </c:manualLayout>
      </c:layout>
      <c:overlay val="0"/>
      <c:txPr>
        <a:bodyPr/>
        <a:lstStyle/>
        <a:p>
          <a:pPr>
            <a:defRPr sz="800">
              <a:latin typeface="Arial Narrow" panose="020B0606020202030204" pitchFamily="34" charset="0"/>
            </a:defRPr>
          </a:pPr>
          <a:endParaRPr lang="it-IT"/>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519285011613047E-2"/>
          <c:y val="7.7192982456140355E-2"/>
          <c:w val="0.89268234938750857"/>
          <c:h val="0.69379914352811167"/>
        </c:manualLayout>
      </c:layout>
      <c:lineChart>
        <c:grouping val="standard"/>
        <c:varyColors val="0"/>
        <c:ser>
          <c:idx val="0"/>
          <c:order val="0"/>
          <c:tx>
            <c:strRef>
              <c:f>'Figura 4'!$D$1</c:f>
              <c:strCache>
                <c:ptCount val="1"/>
                <c:pt idx="0">
                  <c:v>Saldo giornaliero cumulato (SGC)</c:v>
                </c:pt>
              </c:strCache>
            </c:strRef>
          </c:tx>
          <c:spPr>
            <a:ln>
              <a:solidFill>
                <a:srgbClr val="00B050"/>
              </a:solidFill>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4'!$D$2:$D$460</c:f>
              <c:numCache>
                <c:formatCode>General</c:formatCode>
                <c:ptCount val="459"/>
                <c:pt idx="0">
                  <c:v>1309790</c:v>
                </c:pt>
                <c:pt idx="1">
                  <c:v>1333447</c:v>
                </c:pt>
                <c:pt idx="2">
                  <c:v>1343951</c:v>
                </c:pt>
                <c:pt idx="3">
                  <c:v>1352022</c:v>
                </c:pt>
                <c:pt idx="4">
                  <c:v>1347956</c:v>
                </c:pt>
                <c:pt idx="5">
                  <c:v>1368413</c:v>
                </c:pt>
                <c:pt idx="6">
                  <c:v>1384033</c:v>
                </c:pt>
                <c:pt idx="7">
                  <c:v>1397731</c:v>
                </c:pt>
                <c:pt idx="8">
                  <c:v>1408419</c:v>
                </c:pt>
                <c:pt idx="9">
                  <c:v>1405709</c:v>
                </c:pt>
                <c:pt idx="10">
                  <c:v>1409660</c:v>
                </c:pt>
                <c:pt idx="11">
                  <c:v>1404920</c:v>
                </c:pt>
                <c:pt idx="12">
                  <c:v>1421387</c:v>
                </c:pt>
                <c:pt idx="13">
                  <c:v>1432447</c:v>
                </c:pt>
                <c:pt idx="14">
                  <c:v>1434638</c:v>
                </c:pt>
                <c:pt idx="15">
                  <c:v>1447646</c:v>
                </c:pt>
                <c:pt idx="16">
                  <c:v>1448166</c:v>
                </c:pt>
                <c:pt idx="17">
                  <c:v>1451795</c:v>
                </c:pt>
                <c:pt idx="18">
                  <c:v>1447535</c:v>
                </c:pt>
                <c:pt idx="19">
                  <c:v>1460861</c:v>
                </c:pt>
                <c:pt idx="20">
                  <c:v>1474155</c:v>
                </c:pt>
                <c:pt idx="21">
                  <c:v>1485016</c:v>
                </c:pt>
                <c:pt idx="22">
                  <c:v>1492293</c:v>
                </c:pt>
                <c:pt idx="23">
                  <c:v>1490829</c:v>
                </c:pt>
                <c:pt idx="24">
                  <c:v>1492447</c:v>
                </c:pt>
                <c:pt idx="25">
                  <c:v>1488897</c:v>
                </c:pt>
                <c:pt idx="26">
                  <c:v>1496751</c:v>
                </c:pt>
                <c:pt idx="27">
                  <c:v>1504277</c:v>
                </c:pt>
                <c:pt idx="28">
                  <c:v>1509104</c:v>
                </c:pt>
                <c:pt idx="29">
                  <c:v>1506368</c:v>
                </c:pt>
                <c:pt idx="30">
                  <c:v>1312954</c:v>
                </c:pt>
                <c:pt idx="31">
                  <c:v>1377268</c:v>
                </c:pt>
                <c:pt idx="32">
                  <c:v>1374302</c:v>
                </c:pt>
                <c:pt idx="33">
                  <c:v>1404888</c:v>
                </c:pt>
                <c:pt idx="34">
                  <c:v>1421907</c:v>
                </c:pt>
                <c:pt idx="35">
                  <c:v>1434043</c:v>
                </c:pt>
                <c:pt idx="36">
                  <c:v>1443756</c:v>
                </c:pt>
                <c:pt idx="37">
                  <c:v>1432699</c:v>
                </c:pt>
                <c:pt idx="38">
                  <c:v>1433142</c:v>
                </c:pt>
                <c:pt idx="39">
                  <c:v>1430004</c:v>
                </c:pt>
                <c:pt idx="40">
                  <c:v>1440410</c:v>
                </c:pt>
                <c:pt idx="41">
                  <c:v>1448115</c:v>
                </c:pt>
                <c:pt idx="42">
                  <c:v>1452217</c:v>
                </c:pt>
                <c:pt idx="43">
                  <c:v>1453471</c:v>
                </c:pt>
                <c:pt idx="44">
                  <c:v>1444552</c:v>
                </c:pt>
                <c:pt idx="45">
                  <c:v>1440640</c:v>
                </c:pt>
                <c:pt idx="46">
                  <c:v>1438053</c:v>
                </c:pt>
                <c:pt idx="47">
                  <c:v>1450295</c:v>
                </c:pt>
                <c:pt idx="48">
                  <c:v>1457282</c:v>
                </c:pt>
                <c:pt idx="49">
                  <c:v>1461951</c:v>
                </c:pt>
                <c:pt idx="50">
                  <c:v>1463121</c:v>
                </c:pt>
                <c:pt idx="51">
                  <c:v>1462178</c:v>
                </c:pt>
                <c:pt idx="52">
                  <c:v>1460046</c:v>
                </c:pt>
                <c:pt idx="53">
                  <c:v>1455103</c:v>
                </c:pt>
                <c:pt idx="54">
                  <c:v>1472659</c:v>
                </c:pt>
                <c:pt idx="55">
                  <c:v>1482334</c:v>
                </c:pt>
                <c:pt idx="56">
                  <c:v>1490423</c:v>
                </c:pt>
                <c:pt idx="57">
                  <c:v>1495593</c:v>
                </c:pt>
                <c:pt idx="58">
                  <c:v>1491695</c:v>
                </c:pt>
                <c:pt idx="59">
                  <c:v>1487907</c:v>
                </c:pt>
                <c:pt idx="60">
                  <c:v>1471569</c:v>
                </c:pt>
                <c:pt idx="61">
                  <c:v>1196853</c:v>
                </c:pt>
                <c:pt idx="62">
                  <c:v>1397359</c:v>
                </c:pt>
                <c:pt idx="63">
                  <c:v>1429194</c:v>
                </c:pt>
                <c:pt idx="64">
                  <c:v>1452978</c:v>
                </c:pt>
                <c:pt idx="65">
                  <c:v>1464496</c:v>
                </c:pt>
                <c:pt idx="66">
                  <c:v>1466518</c:v>
                </c:pt>
                <c:pt idx="67">
                  <c:v>1446722</c:v>
                </c:pt>
                <c:pt idx="68">
                  <c:v>1479025</c:v>
                </c:pt>
                <c:pt idx="69">
                  <c:v>1507219</c:v>
                </c:pt>
                <c:pt idx="70">
                  <c:v>1527321</c:v>
                </c:pt>
                <c:pt idx="71">
                  <c:v>1536601</c:v>
                </c:pt>
                <c:pt idx="72">
                  <c:v>1541000</c:v>
                </c:pt>
                <c:pt idx="73">
                  <c:v>1535052</c:v>
                </c:pt>
                <c:pt idx="74">
                  <c:v>1501638</c:v>
                </c:pt>
                <c:pt idx="75">
                  <c:v>1538969</c:v>
                </c:pt>
                <c:pt idx="76">
                  <c:v>1541909</c:v>
                </c:pt>
                <c:pt idx="77">
                  <c:v>1569794</c:v>
                </c:pt>
                <c:pt idx="78">
                  <c:v>1590237</c:v>
                </c:pt>
                <c:pt idx="79">
                  <c:v>1598015</c:v>
                </c:pt>
                <c:pt idx="80">
                  <c:v>1596126</c:v>
                </c:pt>
                <c:pt idx="81">
                  <c:v>1569887</c:v>
                </c:pt>
                <c:pt idx="82">
                  <c:v>1608181</c:v>
                </c:pt>
                <c:pt idx="83">
                  <c:v>1628785</c:v>
                </c:pt>
                <c:pt idx="84">
                  <c:v>1645354</c:v>
                </c:pt>
                <c:pt idx="85">
                  <c:v>1658194</c:v>
                </c:pt>
                <c:pt idx="86">
                  <c:v>1657023</c:v>
                </c:pt>
                <c:pt idx="87">
                  <c:v>1654557</c:v>
                </c:pt>
                <c:pt idx="88">
                  <c:v>1641501</c:v>
                </c:pt>
                <c:pt idx="89">
                  <c:v>1660259</c:v>
                </c:pt>
                <c:pt idx="90">
                  <c:v>1669322</c:v>
                </c:pt>
                <c:pt idx="91">
                  <c:v>1337113</c:v>
                </c:pt>
                <c:pt idx="92">
                  <c:v>1465049</c:v>
                </c:pt>
                <c:pt idx="93">
                  <c:v>1478126</c:v>
                </c:pt>
                <c:pt idx="94">
                  <c:v>1480737</c:v>
                </c:pt>
                <c:pt idx="95">
                  <c:v>1469927</c:v>
                </c:pt>
                <c:pt idx="96">
                  <c:v>1500013</c:v>
                </c:pt>
                <c:pt idx="97">
                  <c:v>1518968</c:v>
                </c:pt>
                <c:pt idx="98">
                  <c:v>1533293</c:v>
                </c:pt>
                <c:pt idx="99">
                  <c:v>1544912</c:v>
                </c:pt>
                <c:pt idx="100">
                  <c:v>1542380</c:v>
                </c:pt>
                <c:pt idx="101">
                  <c:v>1528234</c:v>
                </c:pt>
                <c:pt idx="102">
                  <c:v>1516484</c:v>
                </c:pt>
                <c:pt idx="103">
                  <c:v>1537849</c:v>
                </c:pt>
                <c:pt idx="104">
                  <c:v>1552329</c:v>
                </c:pt>
                <c:pt idx="105">
                  <c:v>1558904</c:v>
                </c:pt>
                <c:pt idx="106">
                  <c:v>1547953</c:v>
                </c:pt>
                <c:pt idx="107">
                  <c:v>1546588</c:v>
                </c:pt>
                <c:pt idx="108">
                  <c:v>1543795</c:v>
                </c:pt>
                <c:pt idx="109">
                  <c:v>1532644</c:v>
                </c:pt>
                <c:pt idx="110">
                  <c:v>1558072</c:v>
                </c:pt>
                <c:pt idx="111">
                  <c:v>1564013</c:v>
                </c:pt>
                <c:pt idx="112">
                  <c:v>1575935</c:v>
                </c:pt>
                <c:pt idx="113">
                  <c:v>1584623</c:v>
                </c:pt>
                <c:pt idx="114">
                  <c:v>1583466</c:v>
                </c:pt>
                <c:pt idx="115">
                  <c:v>1582041</c:v>
                </c:pt>
                <c:pt idx="116">
                  <c:v>1571723</c:v>
                </c:pt>
                <c:pt idx="117">
                  <c:v>1587471</c:v>
                </c:pt>
                <c:pt idx="118">
                  <c:v>1597698</c:v>
                </c:pt>
                <c:pt idx="119">
                  <c:v>1602970</c:v>
                </c:pt>
                <c:pt idx="120">
                  <c:v>1606580</c:v>
                </c:pt>
                <c:pt idx="121">
                  <c:v>1572620</c:v>
                </c:pt>
                <c:pt idx="122">
                  <c:v>1342669</c:v>
                </c:pt>
                <c:pt idx="123">
                  <c:v>1374459</c:v>
                </c:pt>
                <c:pt idx="124">
                  <c:v>1437511</c:v>
                </c:pt>
                <c:pt idx="125">
                  <c:v>1462587</c:v>
                </c:pt>
                <c:pt idx="126">
                  <c:v>1479623</c:v>
                </c:pt>
                <c:pt idx="127">
                  <c:v>1491976</c:v>
                </c:pt>
                <c:pt idx="128">
                  <c:v>1492362</c:v>
                </c:pt>
                <c:pt idx="129">
                  <c:v>1490834</c:v>
                </c:pt>
                <c:pt idx="130">
                  <c:v>1481569</c:v>
                </c:pt>
                <c:pt idx="131">
                  <c:v>1502609</c:v>
                </c:pt>
                <c:pt idx="132">
                  <c:v>1513460</c:v>
                </c:pt>
                <c:pt idx="133">
                  <c:v>1524702</c:v>
                </c:pt>
                <c:pt idx="134">
                  <c:v>1532356</c:v>
                </c:pt>
                <c:pt idx="135">
                  <c:v>1525721</c:v>
                </c:pt>
                <c:pt idx="136">
                  <c:v>1519774</c:v>
                </c:pt>
                <c:pt idx="137">
                  <c:v>1501027</c:v>
                </c:pt>
                <c:pt idx="138">
                  <c:v>1523147</c:v>
                </c:pt>
                <c:pt idx="139">
                  <c:v>1536653</c:v>
                </c:pt>
                <c:pt idx="140">
                  <c:v>1545675</c:v>
                </c:pt>
                <c:pt idx="141">
                  <c:v>1552162</c:v>
                </c:pt>
                <c:pt idx="142">
                  <c:v>1543468</c:v>
                </c:pt>
                <c:pt idx="143">
                  <c:v>1542356</c:v>
                </c:pt>
                <c:pt idx="144">
                  <c:v>1532073</c:v>
                </c:pt>
                <c:pt idx="145">
                  <c:v>1547443</c:v>
                </c:pt>
                <c:pt idx="146">
                  <c:v>1555069</c:v>
                </c:pt>
                <c:pt idx="147">
                  <c:v>1559461</c:v>
                </c:pt>
                <c:pt idx="148">
                  <c:v>1566627</c:v>
                </c:pt>
                <c:pt idx="149">
                  <c:v>1564141</c:v>
                </c:pt>
                <c:pt idx="150">
                  <c:v>1563518</c:v>
                </c:pt>
                <c:pt idx="151">
                  <c:v>1554811</c:v>
                </c:pt>
                <c:pt idx="152">
                  <c:v>1381054</c:v>
                </c:pt>
                <c:pt idx="153">
                  <c:v>1496854</c:v>
                </c:pt>
                <c:pt idx="154">
                  <c:v>1517035</c:v>
                </c:pt>
                <c:pt idx="155">
                  <c:v>1533265</c:v>
                </c:pt>
                <c:pt idx="156">
                  <c:v>1538625</c:v>
                </c:pt>
                <c:pt idx="157">
                  <c:v>1543714</c:v>
                </c:pt>
                <c:pt idx="158">
                  <c:v>1538129</c:v>
                </c:pt>
                <c:pt idx="159">
                  <c:v>1542301</c:v>
                </c:pt>
                <c:pt idx="160">
                  <c:v>1541213</c:v>
                </c:pt>
                <c:pt idx="161">
                  <c:v>1555386</c:v>
                </c:pt>
                <c:pt idx="162">
                  <c:v>1562271</c:v>
                </c:pt>
                <c:pt idx="163">
                  <c:v>1560217</c:v>
                </c:pt>
                <c:pt idx="164">
                  <c:v>1558502</c:v>
                </c:pt>
                <c:pt idx="165">
                  <c:v>1550113</c:v>
                </c:pt>
                <c:pt idx="166">
                  <c:v>1563914</c:v>
                </c:pt>
                <c:pt idx="167">
                  <c:v>1560831</c:v>
                </c:pt>
                <c:pt idx="168">
                  <c:v>1571729</c:v>
                </c:pt>
                <c:pt idx="169">
                  <c:v>1579642</c:v>
                </c:pt>
                <c:pt idx="170">
                  <c:v>1560251</c:v>
                </c:pt>
                <c:pt idx="171">
                  <c:v>1556890</c:v>
                </c:pt>
                <c:pt idx="172">
                  <c:v>1540559</c:v>
                </c:pt>
                <c:pt idx="173">
                  <c:v>1556687</c:v>
                </c:pt>
                <c:pt idx="174">
                  <c:v>1549782</c:v>
                </c:pt>
                <c:pt idx="175">
                  <c:v>1525518</c:v>
                </c:pt>
                <c:pt idx="176">
                  <c:v>1515215</c:v>
                </c:pt>
                <c:pt idx="177">
                  <c:v>1516404</c:v>
                </c:pt>
                <c:pt idx="178">
                  <c:v>1517058</c:v>
                </c:pt>
                <c:pt idx="179">
                  <c:v>1513813</c:v>
                </c:pt>
                <c:pt idx="180">
                  <c:v>1539708</c:v>
                </c:pt>
                <c:pt idx="181">
                  <c:v>1558341</c:v>
                </c:pt>
                <c:pt idx="182">
                  <c:v>1551830</c:v>
                </c:pt>
                <c:pt idx="183">
                  <c:v>921636</c:v>
                </c:pt>
                <c:pt idx="184">
                  <c:v>1013108</c:v>
                </c:pt>
                <c:pt idx="185">
                  <c:v>1077747</c:v>
                </c:pt>
                <c:pt idx="186">
                  <c:v>1074681</c:v>
                </c:pt>
                <c:pt idx="187">
                  <c:v>1116278</c:v>
                </c:pt>
                <c:pt idx="188">
                  <c:v>1138775</c:v>
                </c:pt>
                <c:pt idx="189">
                  <c:v>1137664</c:v>
                </c:pt>
                <c:pt idx="190">
                  <c:v>1187639</c:v>
                </c:pt>
                <c:pt idx="191">
                  <c:v>1202353</c:v>
                </c:pt>
                <c:pt idx="192">
                  <c:v>1208657</c:v>
                </c:pt>
                <c:pt idx="193">
                  <c:v>1196256</c:v>
                </c:pt>
                <c:pt idx="194">
                  <c:v>1244526</c:v>
                </c:pt>
                <c:pt idx="195">
                  <c:v>1271176</c:v>
                </c:pt>
                <c:pt idx="196">
                  <c:v>1289825</c:v>
                </c:pt>
                <c:pt idx="197">
                  <c:v>1303252</c:v>
                </c:pt>
                <c:pt idx="198">
                  <c:v>1300281</c:v>
                </c:pt>
                <c:pt idx="199">
                  <c:v>1304487</c:v>
                </c:pt>
                <c:pt idx="200">
                  <c:v>1298725</c:v>
                </c:pt>
                <c:pt idx="201">
                  <c:v>1326645</c:v>
                </c:pt>
                <c:pt idx="202">
                  <c:v>1341613</c:v>
                </c:pt>
                <c:pt idx="203">
                  <c:v>1351418</c:v>
                </c:pt>
                <c:pt idx="204">
                  <c:v>1361848</c:v>
                </c:pt>
                <c:pt idx="205">
                  <c:v>1362312</c:v>
                </c:pt>
                <c:pt idx="206">
                  <c:v>1363769</c:v>
                </c:pt>
                <c:pt idx="207">
                  <c:v>1358919</c:v>
                </c:pt>
                <c:pt idx="208">
                  <c:v>1374705</c:v>
                </c:pt>
                <c:pt idx="209">
                  <c:v>1384881</c:v>
                </c:pt>
                <c:pt idx="210">
                  <c:v>1391307</c:v>
                </c:pt>
                <c:pt idx="211">
                  <c:v>1395487</c:v>
                </c:pt>
                <c:pt idx="212">
                  <c:v>1381479</c:v>
                </c:pt>
                <c:pt idx="213">
                  <c:v>1368182</c:v>
                </c:pt>
                <c:pt idx="214">
                  <c:v>1264476</c:v>
                </c:pt>
                <c:pt idx="215">
                  <c:v>1356626</c:v>
                </c:pt>
                <c:pt idx="216">
                  <c:v>1375203</c:v>
                </c:pt>
                <c:pt idx="217">
                  <c:v>1393548</c:v>
                </c:pt>
                <c:pt idx="218">
                  <c:v>1405306</c:v>
                </c:pt>
                <c:pt idx="219">
                  <c:v>1404931</c:v>
                </c:pt>
                <c:pt idx="220">
                  <c:v>1407234</c:v>
                </c:pt>
                <c:pt idx="221">
                  <c:v>1400904</c:v>
                </c:pt>
                <c:pt idx="222">
                  <c:v>1418418</c:v>
                </c:pt>
                <c:pt idx="223">
                  <c:v>1430138</c:v>
                </c:pt>
                <c:pt idx="224">
                  <c:v>1438724</c:v>
                </c:pt>
                <c:pt idx="225">
                  <c:v>1447905</c:v>
                </c:pt>
                <c:pt idx="226">
                  <c:v>1444735</c:v>
                </c:pt>
                <c:pt idx="227">
                  <c:v>1444155</c:v>
                </c:pt>
                <c:pt idx="228">
                  <c:v>1436801</c:v>
                </c:pt>
                <c:pt idx="229">
                  <c:v>1451199</c:v>
                </c:pt>
                <c:pt idx="230">
                  <c:v>1464422</c:v>
                </c:pt>
                <c:pt idx="231">
                  <c:v>1472834</c:v>
                </c:pt>
                <c:pt idx="232">
                  <c:v>1480495</c:v>
                </c:pt>
                <c:pt idx="233">
                  <c:v>1477074</c:v>
                </c:pt>
                <c:pt idx="234">
                  <c:v>1475580</c:v>
                </c:pt>
                <c:pt idx="235">
                  <c:v>1470758</c:v>
                </c:pt>
                <c:pt idx="236">
                  <c:v>1485891</c:v>
                </c:pt>
                <c:pt idx="237">
                  <c:v>1495717</c:v>
                </c:pt>
                <c:pt idx="238">
                  <c:v>1501751</c:v>
                </c:pt>
                <c:pt idx="239">
                  <c:v>1505907</c:v>
                </c:pt>
                <c:pt idx="240">
                  <c:v>1498396</c:v>
                </c:pt>
                <c:pt idx="241">
                  <c:v>1495675</c:v>
                </c:pt>
                <c:pt idx="242">
                  <c:v>1477492</c:v>
                </c:pt>
                <c:pt idx="243">
                  <c:v>1380074</c:v>
                </c:pt>
                <c:pt idx="244">
                  <c:v>1473550</c:v>
                </c:pt>
                <c:pt idx="245">
                  <c:v>1491606</c:v>
                </c:pt>
                <c:pt idx="246">
                  <c:v>1504582</c:v>
                </c:pt>
                <c:pt idx="247">
                  <c:v>1505714</c:v>
                </c:pt>
                <c:pt idx="248">
                  <c:v>1507306</c:v>
                </c:pt>
                <c:pt idx="249">
                  <c:v>1501100</c:v>
                </c:pt>
                <c:pt idx="250">
                  <c:v>1519690</c:v>
                </c:pt>
                <c:pt idx="251">
                  <c:v>1532130</c:v>
                </c:pt>
                <c:pt idx="252">
                  <c:v>1541722</c:v>
                </c:pt>
                <c:pt idx="253">
                  <c:v>1546776</c:v>
                </c:pt>
                <c:pt idx="254">
                  <c:v>1540187</c:v>
                </c:pt>
                <c:pt idx="255">
                  <c:v>1541137</c:v>
                </c:pt>
                <c:pt idx="256">
                  <c:v>1534792</c:v>
                </c:pt>
                <c:pt idx="257">
                  <c:v>1556352</c:v>
                </c:pt>
                <c:pt idx="258">
                  <c:v>1564258</c:v>
                </c:pt>
                <c:pt idx="259">
                  <c:v>1576495</c:v>
                </c:pt>
                <c:pt idx="260">
                  <c:v>1586265</c:v>
                </c:pt>
                <c:pt idx="261">
                  <c:v>1586640</c:v>
                </c:pt>
                <c:pt idx="262">
                  <c:v>1589939</c:v>
                </c:pt>
                <c:pt idx="263">
                  <c:v>1582702</c:v>
                </c:pt>
                <c:pt idx="264">
                  <c:v>1601600</c:v>
                </c:pt>
                <c:pt idx="265">
                  <c:v>1610744</c:v>
                </c:pt>
                <c:pt idx="266">
                  <c:v>1607472</c:v>
                </c:pt>
                <c:pt idx="267">
                  <c:v>1616422</c:v>
                </c:pt>
                <c:pt idx="268">
                  <c:v>1618119</c:v>
                </c:pt>
                <c:pt idx="269">
                  <c:v>1619342</c:v>
                </c:pt>
                <c:pt idx="270">
                  <c:v>1618809</c:v>
                </c:pt>
                <c:pt idx="271">
                  <c:v>1611498</c:v>
                </c:pt>
                <c:pt idx="272">
                  <c:v>1614053</c:v>
                </c:pt>
                <c:pt idx="273">
                  <c:v>1618889</c:v>
                </c:pt>
                <c:pt idx="274">
                  <c:v>1471390</c:v>
                </c:pt>
                <c:pt idx="275">
                  <c:v>1573432</c:v>
                </c:pt>
                <c:pt idx="276">
                  <c:v>1582795</c:v>
                </c:pt>
                <c:pt idx="277">
                  <c:v>1574888</c:v>
                </c:pt>
                <c:pt idx="278">
                  <c:v>1610529</c:v>
                </c:pt>
                <c:pt idx="279">
                  <c:v>1630126</c:v>
                </c:pt>
                <c:pt idx="280">
                  <c:v>1643651</c:v>
                </c:pt>
                <c:pt idx="281">
                  <c:v>1654979</c:v>
                </c:pt>
                <c:pt idx="282">
                  <c:v>1655869</c:v>
                </c:pt>
                <c:pt idx="283">
                  <c:v>1657535</c:v>
                </c:pt>
                <c:pt idx="284">
                  <c:v>1647174</c:v>
                </c:pt>
                <c:pt idx="285">
                  <c:v>1671468</c:v>
                </c:pt>
                <c:pt idx="286">
                  <c:v>1685590</c:v>
                </c:pt>
                <c:pt idx="287">
                  <c:v>1696111</c:v>
                </c:pt>
                <c:pt idx="288">
                  <c:v>1703124</c:v>
                </c:pt>
                <c:pt idx="289">
                  <c:v>1698124</c:v>
                </c:pt>
                <c:pt idx="290">
                  <c:v>1701925</c:v>
                </c:pt>
                <c:pt idx="291">
                  <c:v>1696379</c:v>
                </c:pt>
                <c:pt idx="292">
                  <c:v>1722431</c:v>
                </c:pt>
                <c:pt idx="293">
                  <c:v>1738942</c:v>
                </c:pt>
                <c:pt idx="294">
                  <c:v>1747762</c:v>
                </c:pt>
                <c:pt idx="295">
                  <c:v>1759799</c:v>
                </c:pt>
                <c:pt idx="296">
                  <c:v>1761524</c:v>
                </c:pt>
                <c:pt idx="297">
                  <c:v>1766501</c:v>
                </c:pt>
                <c:pt idx="298">
                  <c:v>1762579</c:v>
                </c:pt>
                <c:pt idx="299">
                  <c:v>1760158</c:v>
                </c:pt>
                <c:pt idx="300">
                  <c:v>1772310</c:v>
                </c:pt>
                <c:pt idx="301">
                  <c:v>1782746</c:v>
                </c:pt>
                <c:pt idx="302">
                  <c:v>1787554</c:v>
                </c:pt>
                <c:pt idx="303">
                  <c:v>1776076</c:v>
                </c:pt>
                <c:pt idx="304">
                  <c:v>1656059</c:v>
                </c:pt>
                <c:pt idx="305">
                  <c:v>1697770</c:v>
                </c:pt>
                <c:pt idx="306">
                  <c:v>1770787</c:v>
                </c:pt>
                <c:pt idx="307">
                  <c:v>1795016</c:v>
                </c:pt>
                <c:pt idx="308">
                  <c:v>1811107</c:v>
                </c:pt>
                <c:pt idx="309">
                  <c:v>1824744</c:v>
                </c:pt>
                <c:pt idx="310">
                  <c:v>1829475</c:v>
                </c:pt>
                <c:pt idx="311">
                  <c:v>1834941</c:v>
                </c:pt>
                <c:pt idx="312">
                  <c:v>1829504</c:v>
                </c:pt>
                <c:pt idx="313">
                  <c:v>1853476</c:v>
                </c:pt>
                <c:pt idx="314">
                  <c:v>1866948</c:v>
                </c:pt>
                <c:pt idx="315">
                  <c:v>1878489</c:v>
                </c:pt>
                <c:pt idx="316">
                  <c:v>1887503</c:v>
                </c:pt>
                <c:pt idx="317">
                  <c:v>1887031</c:v>
                </c:pt>
                <c:pt idx="318">
                  <c:v>1888942</c:v>
                </c:pt>
                <c:pt idx="319">
                  <c:v>1877206</c:v>
                </c:pt>
                <c:pt idx="320">
                  <c:v>1903254</c:v>
                </c:pt>
                <c:pt idx="321">
                  <c:v>1917914</c:v>
                </c:pt>
                <c:pt idx="322">
                  <c:v>1930675</c:v>
                </c:pt>
                <c:pt idx="323">
                  <c:v>1939958</c:v>
                </c:pt>
                <c:pt idx="324">
                  <c:v>1938633</c:v>
                </c:pt>
                <c:pt idx="325">
                  <c:v>1942463</c:v>
                </c:pt>
                <c:pt idx="326">
                  <c:v>1936714</c:v>
                </c:pt>
                <c:pt idx="327">
                  <c:v>1955271</c:v>
                </c:pt>
                <c:pt idx="328">
                  <c:v>1966528</c:v>
                </c:pt>
                <c:pt idx="329">
                  <c:v>1974569</c:v>
                </c:pt>
                <c:pt idx="330">
                  <c:v>1982016</c:v>
                </c:pt>
                <c:pt idx="331">
                  <c:v>1980681</c:v>
                </c:pt>
                <c:pt idx="332">
                  <c:v>1985276</c:v>
                </c:pt>
                <c:pt idx="333">
                  <c:v>1980376</c:v>
                </c:pt>
                <c:pt idx="334">
                  <c:v>1980155</c:v>
                </c:pt>
                <c:pt idx="335">
                  <c:v>1842875</c:v>
                </c:pt>
                <c:pt idx="336">
                  <c:v>1967582</c:v>
                </c:pt>
                <c:pt idx="337">
                  <c:v>1983348</c:v>
                </c:pt>
                <c:pt idx="338">
                  <c:v>1991166</c:v>
                </c:pt>
                <c:pt idx="339">
                  <c:v>1997432</c:v>
                </c:pt>
                <c:pt idx="340">
                  <c:v>1992072</c:v>
                </c:pt>
                <c:pt idx="341">
                  <c:v>2020703</c:v>
                </c:pt>
                <c:pt idx="342">
                  <c:v>2038328</c:v>
                </c:pt>
                <c:pt idx="343">
                  <c:v>2032783</c:v>
                </c:pt>
                <c:pt idx="344">
                  <c:v>2036379</c:v>
                </c:pt>
                <c:pt idx="345">
                  <c:v>2030141</c:v>
                </c:pt>
                <c:pt idx="346">
                  <c:v>2037550</c:v>
                </c:pt>
                <c:pt idx="347">
                  <c:v>2031342</c:v>
                </c:pt>
                <c:pt idx="348">
                  <c:v>2052777</c:v>
                </c:pt>
                <c:pt idx="349">
                  <c:v>2063335</c:v>
                </c:pt>
                <c:pt idx="350">
                  <c:v>2072305</c:v>
                </c:pt>
                <c:pt idx="351">
                  <c:v>2088232</c:v>
                </c:pt>
                <c:pt idx="352">
                  <c:v>2093326</c:v>
                </c:pt>
                <c:pt idx="353">
                  <c:v>2101077</c:v>
                </c:pt>
                <c:pt idx="354">
                  <c:v>2096914</c:v>
                </c:pt>
                <c:pt idx="355">
                  <c:v>2117225</c:v>
                </c:pt>
                <c:pt idx="356">
                  <c:v>2131346</c:v>
                </c:pt>
                <c:pt idx="357">
                  <c:v>2141770</c:v>
                </c:pt>
                <c:pt idx="358">
                  <c:v>2150636</c:v>
                </c:pt>
                <c:pt idx="359">
                  <c:v>2151572</c:v>
                </c:pt>
                <c:pt idx="360">
                  <c:v>2154074</c:v>
                </c:pt>
                <c:pt idx="361">
                  <c:v>2149392</c:v>
                </c:pt>
                <c:pt idx="362">
                  <c:v>2160899</c:v>
                </c:pt>
                <c:pt idx="363">
                  <c:v>2166835</c:v>
                </c:pt>
                <c:pt idx="364">
                  <c:v>2168449</c:v>
                </c:pt>
                <c:pt idx="365">
                  <c:v>1736364</c:v>
                </c:pt>
                <c:pt idx="366">
                  <c:v>1889119</c:v>
                </c:pt>
                <c:pt idx="367">
                  <c:v>1904149</c:v>
                </c:pt>
                <c:pt idx="368">
                  <c:v>1900750</c:v>
                </c:pt>
                <c:pt idx="369">
                  <c:v>1932273</c:v>
                </c:pt>
                <c:pt idx="370">
                  <c:v>1951818</c:v>
                </c:pt>
                <c:pt idx="371">
                  <c:v>1966248</c:v>
                </c:pt>
                <c:pt idx="372">
                  <c:v>1977058</c:v>
                </c:pt>
                <c:pt idx="373">
                  <c:v>1979870</c:v>
                </c:pt>
                <c:pt idx="374">
                  <c:v>1983555</c:v>
                </c:pt>
                <c:pt idx="375">
                  <c:v>1976608</c:v>
                </c:pt>
                <c:pt idx="376">
                  <c:v>1993593</c:v>
                </c:pt>
                <c:pt idx="377">
                  <c:v>2007160</c:v>
                </c:pt>
                <c:pt idx="378">
                  <c:v>2017918</c:v>
                </c:pt>
                <c:pt idx="379">
                  <c:v>2024380</c:v>
                </c:pt>
                <c:pt idx="380">
                  <c:v>2014744</c:v>
                </c:pt>
                <c:pt idx="381">
                  <c:v>2017882</c:v>
                </c:pt>
                <c:pt idx="382">
                  <c:v>2013330</c:v>
                </c:pt>
                <c:pt idx="383">
                  <c:v>2033221</c:v>
                </c:pt>
                <c:pt idx="384">
                  <c:v>2045338</c:v>
                </c:pt>
                <c:pt idx="385">
                  <c:v>2052617</c:v>
                </c:pt>
                <c:pt idx="386">
                  <c:v>2061560</c:v>
                </c:pt>
                <c:pt idx="387">
                  <c:v>2061823</c:v>
                </c:pt>
                <c:pt idx="388">
                  <c:v>2063133</c:v>
                </c:pt>
                <c:pt idx="389">
                  <c:v>2059665</c:v>
                </c:pt>
                <c:pt idx="390">
                  <c:v>2069672</c:v>
                </c:pt>
                <c:pt idx="391">
                  <c:v>2077435</c:v>
                </c:pt>
                <c:pt idx="392">
                  <c:v>2082184</c:v>
                </c:pt>
                <c:pt idx="393">
                  <c:v>2083407</c:v>
                </c:pt>
                <c:pt idx="394">
                  <c:v>2061510</c:v>
                </c:pt>
                <c:pt idx="395">
                  <c:v>2037467</c:v>
                </c:pt>
                <c:pt idx="396">
                  <c:v>1883499</c:v>
                </c:pt>
                <c:pt idx="397">
                  <c:v>1959760</c:v>
                </c:pt>
                <c:pt idx="398">
                  <c:v>1979068</c:v>
                </c:pt>
                <c:pt idx="399">
                  <c:v>1992182</c:v>
                </c:pt>
                <c:pt idx="400">
                  <c:v>2002686</c:v>
                </c:pt>
                <c:pt idx="401">
                  <c:v>1994491</c:v>
                </c:pt>
                <c:pt idx="402">
                  <c:v>1995549</c:v>
                </c:pt>
                <c:pt idx="403">
                  <c:v>1991720</c:v>
                </c:pt>
                <c:pt idx="404">
                  <c:v>2004867</c:v>
                </c:pt>
                <c:pt idx="405">
                  <c:v>2013363</c:v>
                </c:pt>
                <c:pt idx="406">
                  <c:v>2015751</c:v>
                </c:pt>
                <c:pt idx="407">
                  <c:v>2021073</c:v>
                </c:pt>
                <c:pt idx="408">
                  <c:v>2010932</c:v>
                </c:pt>
                <c:pt idx="409">
                  <c:v>2008020</c:v>
                </c:pt>
                <c:pt idx="410">
                  <c:v>2003940</c:v>
                </c:pt>
                <c:pt idx="411">
                  <c:v>1999331</c:v>
                </c:pt>
                <c:pt idx="412">
                  <c:v>2008539</c:v>
                </c:pt>
                <c:pt idx="413">
                  <c:v>2012688</c:v>
                </c:pt>
                <c:pt idx="414">
                  <c:v>2016005</c:v>
                </c:pt>
                <c:pt idx="415">
                  <c:v>2014743</c:v>
                </c:pt>
                <c:pt idx="416">
                  <c:v>2010966</c:v>
                </c:pt>
                <c:pt idx="417">
                  <c:v>2006695</c:v>
                </c:pt>
                <c:pt idx="418">
                  <c:v>2022563</c:v>
                </c:pt>
                <c:pt idx="419">
                  <c:v>2029790</c:v>
                </c:pt>
                <c:pt idx="420">
                  <c:v>2034665</c:v>
                </c:pt>
                <c:pt idx="421">
                  <c:v>2037728</c:v>
                </c:pt>
                <c:pt idx="422">
                  <c:v>2036249</c:v>
                </c:pt>
                <c:pt idx="423">
                  <c:v>2033633</c:v>
                </c:pt>
                <c:pt idx="424">
                  <c:v>2024197</c:v>
                </c:pt>
                <c:pt idx="425">
                  <c:v>2037300</c:v>
                </c:pt>
                <c:pt idx="426">
                  <c:v>2036684</c:v>
                </c:pt>
                <c:pt idx="427">
                  <c:v>1762805</c:v>
                </c:pt>
                <c:pt idx="428">
                  <c:v>1936636</c:v>
                </c:pt>
                <c:pt idx="429">
                  <c:v>1947770</c:v>
                </c:pt>
                <c:pt idx="430">
                  <c:v>1950178</c:v>
                </c:pt>
                <c:pt idx="431">
                  <c:v>1932789</c:v>
                </c:pt>
                <c:pt idx="432">
                  <c:v>1968358</c:v>
                </c:pt>
                <c:pt idx="433">
                  <c:v>1989670</c:v>
                </c:pt>
                <c:pt idx="434">
                  <c:v>2004004</c:v>
                </c:pt>
                <c:pt idx="435">
                  <c:v>2015862</c:v>
                </c:pt>
                <c:pt idx="436">
                  <c:v>2016990</c:v>
                </c:pt>
                <c:pt idx="437">
                  <c:v>2001793</c:v>
                </c:pt>
                <c:pt idx="438">
                  <c:v>1971323</c:v>
                </c:pt>
                <c:pt idx="439">
                  <c:v>2015340</c:v>
                </c:pt>
                <c:pt idx="440">
                  <c:v>2035027</c:v>
                </c:pt>
                <c:pt idx="441">
                  <c:v>2046106</c:v>
                </c:pt>
                <c:pt idx="442">
                  <c:v>2041981</c:v>
                </c:pt>
                <c:pt idx="443">
                  <c:v>2049266</c:v>
                </c:pt>
                <c:pt idx="444">
                  <c:v>2046134</c:v>
                </c:pt>
                <c:pt idx="445">
                  <c:v>2023947</c:v>
                </c:pt>
                <c:pt idx="446">
                  <c:v>2062912</c:v>
                </c:pt>
                <c:pt idx="447">
                  <c:v>2075324</c:v>
                </c:pt>
                <c:pt idx="448">
                  <c:v>2092701</c:v>
                </c:pt>
                <c:pt idx="449">
                  <c:v>2106552</c:v>
                </c:pt>
                <c:pt idx="450">
                  <c:v>2111200</c:v>
                </c:pt>
                <c:pt idx="451">
                  <c:v>2109600</c:v>
                </c:pt>
                <c:pt idx="452">
                  <c:v>2093490</c:v>
                </c:pt>
                <c:pt idx="453">
                  <c:v>2119407</c:v>
                </c:pt>
                <c:pt idx="454">
                  <c:v>2134706</c:v>
                </c:pt>
                <c:pt idx="455">
                  <c:v>2144427</c:v>
                </c:pt>
                <c:pt idx="456">
                  <c:v>2150577</c:v>
                </c:pt>
                <c:pt idx="457">
                  <c:v>1805613</c:v>
                </c:pt>
              </c:numCache>
            </c:numRef>
          </c:val>
          <c:smooth val="0"/>
          <c:extLst xmlns:c16r2="http://schemas.microsoft.com/office/drawing/2015/06/chart">
            <c:ext xmlns:c16="http://schemas.microsoft.com/office/drawing/2014/chart" uri="{C3380CC4-5D6E-409C-BE32-E72D297353CC}">
              <c16:uniqueId val="{00000000-5933-40F5-9F00-422A069B1055}"/>
            </c:ext>
          </c:extLst>
        </c:ser>
        <c:ser>
          <c:idx val="1"/>
          <c:order val="1"/>
          <c:tx>
            <c:strRef>
              <c:f>'Figura 4'!$E$1</c:f>
              <c:strCache>
                <c:ptCount val="1"/>
                <c:pt idx="0">
                  <c:v>Media trimestrale SGC</c:v>
                </c:pt>
              </c:strCache>
            </c:strRef>
          </c:tx>
          <c:spPr>
            <a:ln>
              <a:solidFill>
                <a:srgbClr val="00B050"/>
              </a:solidFill>
              <a:prstDash val="sysDash"/>
            </a:ln>
          </c:spPr>
          <c:marker>
            <c:symbol val="none"/>
          </c:marker>
          <c:cat>
            <c:multiLvlStrRef>
              <c:f>'Figura 4'!$B$2:$C$460</c:f>
              <c:multiLvlStrCache>
                <c:ptCount val="459"/>
                <c:lvl>
                  <c:pt idx="0">
                    <c:v>3</c:v>
                  </c:pt>
                  <c:pt idx="92">
                    <c:v>4</c:v>
                  </c:pt>
                  <c:pt idx="184">
                    <c:v>1</c:v>
                  </c:pt>
                  <c:pt idx="275">
                    <c:v>2</c:v>
                  </c:pt>
                  <c:pt idx="366">
                    <c:v>3</c:v>
                  </c:pt>
                  <c:pt idx="458">
                    <c:v>4</c:v>
                  </c:pt>
                </c:lvl>
                <c:lvl>
                  <c:pt idx="0">
                    <c:v>2015</c:v>
                  </c:pt>
                  <c:pt idx="184">
                    <c:v>2016</c:v>
                  </c:pt>
                </c:lvl>
              </c:multiLvlStrCache>
            </c:multiLvlStrRef>
          </c:cat>
          <c:val>
            <c:numRef>
              <c:f>'Figura 4'!$E$2:$E$460</c:f>
              <c:numCache>
                <c:formatCode>General</c:formatCode>
                <c:ptCount val="459"/>
                <c:pt idx="0">
                  <c:v>1471548.28</c:v>
                </c:pt>
                <c:pt idx="1">
                  <c:v>1471548.28</c:v>
                </c:pt>
                <c:pt idx="2">
                  <c:v>1471548.28</c:v>
                </c:pt>
                <c:pt idx="3">
                  <c:v>1471548.28</c:v>
                </c:pt>
                <c:pt idx="4">
                  <c:v>1471548.28</c:v>
                </c:pt>
                <c:pt idx="5">
                  <c:v>1471548.28</c:v>
                </c:pt>
                <c:pt idx="6">
                  <c:v>1471548.28</c:v>
                </c:pt>
                <c:pt idx="7">
                  <c:v>1471548.28</c:v>
                </c:pt>
                <c:pt idx="8">
                  <c:v>1471548.28</c:v>
                </c:pt>
                <c:pt idx="9">
                  <c:v>1471548.28</c:v>
                </c:pt>
                <c:pt idx="10">
                  <c:v>1471548.28</c:v>
                </c:pt>
                <c:pt idx="11">
                  <c:v>1471548.28</c:v>
                </c:pt>
                <c:pt idx="12">
                  <c:v>1471548.28</c:v>
                </c:pt>
                <c:pt idx="13">
                  <c:v>1471548.28</c:v>
                </c:pt>
                <c:pt idx="14">
                  <c:v>1471548.28</c:v>
                </c:pt>
                <c:pt idx="15">
                  <c:v>1471548.28</c:v>
                </c:pt>
                <c:pt idx="16">
                  <c:v>1471548.28</c:v>
                </c:pt>
                <c:pt idx="17">
                  <c:v>1471548.28</c:v>
                </c:pt>
                <c:pt idx="18">
                  <c:v>1471548.28</c:v>
                </c:pt>
                <c:pt idx="19">
                  <c:v>1471548.28</c:v>
                </c:pt>
                <c:pt idx="20">
                  <c:v>1471548.28</c:v>
                </c:pt>
                <c:pt idx="21">
                  <c:v>1471548.28</c:v>
                </c:pt>
                <c:pt idx="22">
                  <c:v>1471548.28</c:v>
                </c:pt>
                <c:pt idx="23">
                  <c:v>1471548.28</c:v>
                </c:pt>
                <c:pt idx="24">
                  <c:v>1471548.28</c:v>
                </c:pt>
                <c:pt idx="25">
                  <c:v>1471548.28</c:v>
                </c:pt>
                <c:pt idx="26">
                  <c:v>1471548.28</c:v>
                </c:pt>
                <c:pt idx="27">
                  <c:v>1471548.28</c:v>
                </c:pt>
                <c:pt idx="28">
                  <c:v>1471548.28</c:v>
                </c:pt>
                <c:pt idx="29">
                  <c:v>1471548.28</c:v>
                </c:pt>
                <c:pt idx="30">
                  <c:v>1471548.28</c:v>
                </c:pt>
                <c:pt idx="31">
                  <c:v>1471548.28</c:v>
                </c:pt>
                <c:pt idx="32">
                  <c:v>1471548.28</c:v>
                </c:pt>
                <c:pt idx="33">
                  <c:v>1471548.28</c:v>
                </c:pt>
                <c:pt idx="34">
                  <c:v>1471548.28</c:v>
                </c:pt>
                <c:pt idx="35">
                  <c:v>1471548.28</c:v>
                </c:pt>
                <c:pt idx="36">
                  <c:v>1471548.28</c:v>
                </c:pt>
                <c:pt idx="37">
                  <c:v>1471548.28</c:v>
                </c:pt>
                <c:pt idx="38">
                  <c:v>1471548.28</c:v>
                </c:pt>
                <c:pt idx="39">
                  <c:v>1471548.28</c:v>
                </c:pt>
                <c:pt idx="40">
                  <c:v>1471548.28</c:v>
                </c:pt>
                <c:pt idx="41">
                  <c:v>1471548.28</c:v>
                </c:pt>
                <c:pt idx="42">
                  <c:v>1471548.28</c:v>
                </c:pt>
                <c:pt idx="43">
                  <c:v>1471548.28</c:v>
                </c:pt>
                <c:pt idx="44">
                  <c:v>1471548.28</c:v>
                </c:pt>
                <c:pt idx="45">
                  <c:v>1471548.28</c:v>
                </c:pt>
                <c:pt idx="46">
                  <c:v>1471548.28</c:v>
                </c:pt>
                <c:pt idx="47">
                  <c:v>1471548.28</c:v>
                </c:pt>
                <c:pt idx="48">
                  <c:v>1471548.28</c:v>
                </c:pt>
                <c:pt idx="49">
                  <c:v>1471548.28</c:v>
                </c:pt>
                <c:pt idx="50">
                  <c:v>1471548.28</c:v>
                </c:pt>
                <c:pt idx="51">
                  <c:v>1471548.28</c:v>
                </c:pt>
                <c:pt idx="52">
                  <c:v>1471548.28</c:v>
                </c:pt>
                <c:pt idx="53">
                  <c:v>1471548.28</c:v>
                </c:pt>
                <c:pt idx="54">
                  <c:v>1471548.28</c:v>
                </c:pt>
                <c:pt idx="55">
                  <c:v>1471548.28</c:v>
                </c:pt>
                <c:pt idx="56">
                  <c:v>1471548.28</c:v>
                </c:pt>
                <c:pt idx="57">
                  <c:v>1471548.28</c:v>
                </c:pt>
                <c:pt idx="58">
                  <c:v>1471548.28</c:v>
                </c:pt>
                <c:pt idx="59">
                  <c:v>1471548.28</c:v>
                </c:pt>
                <c:pt idx="60">
                  <c:v>1471548.28</c:v>
                </c:pt>
                <c:pt idx="61">
                  <c:v>1471548.28</c:v>
                </c:pt>
                <c:pt idx="62">
                  <c:v>1471548.28</c:v>
                </c:pt>
                <c:pt idx="63">
                  <c:v>1471548.28</c:v>
                </c:pt>
                <c:pt idx="64">
                  <c:v>1471548.28</c:v>
                </c:pt>
                <c:pt idx="65">
                  <c:v>1471548.28</c:v>
                </c:pt>
                <c:pt idx="66">
                  <c:v>1471548.28</c:v>
                </c:pt>
                <c:pt idx="67">
                  <c:v>1471548.28</c:v>
                </c:pt>
                <c:pt idx="68">
                  <c:v>1471548.28</c:v>
                </c:pt>
                <c:pt idx="69">
                  <c:v>1471548.28</c:v>
                </c:pt>
                <c:pt idx="70">
                  <c:v>1471548.28</c:v>
                </c:pt>
                <c:pt idx="71">
                  <c:v>1471548.28</c:v>
                </c:pt>
                <c:pt idx="72">
                  <c:v>1471548.28</c:v>
                </c:pt>
                <c:pt idx="73">
                  <c:v>1471548.28</c:v>
                </c:pt>
                <c:pt idx="74">
                  <c:v>1471548.28</c:v>
                </c:pt>
                <c:pt idx="75">
                  <c:v>1471548.28</c:v>
                </c:pt>
                <c:pt idx="76">
                  <c:v>1471548.28</c:v>
                </c:pt>
                <c:pt idx="77">
                  <c:v>1471548.28</c:v>
                </c:pt>
                <c:pt idx="78">
                  <c:v>1471548.28</c:v>
                </c:pt>
                <c:pt idx="79">
                  <c:v>1471548.28</c:v>
                </c:pt>
                <c:pt idx="80">
                  <c:v>1471548.28</c:v>
                </c:pt>
                <c:pt idx="81">
                  <c:v>1471548.28</c:v>
                </c:pt>
                <c:pt idx="82">
                  <c:v>1471548.28</c:v>
                </c:pt>
                <c:pt idx="83">
                  <c:v>1471548.28</c:v>
                </c:pt>
                <c:pt idx="84">
                  <c:v>1471548.28</c:v>
                </c:pt>
                <c:pt idx="85">
                  <c:v>1471548.28</c:v>
                </c:pt>
                <c:pt idx="86">
                  <c:v>1471548.28</c:v>
                </c:pt>
                <c:pt idx="87">
                  <c:v>1471548.28</c:v>
                </c:pt>
                <c:pt idx="88">
                  <c:v>1471548.28</c:v>
                </c:pt>
                <c:pt idx="89">
                  <c:v>1471548.28</c:v>
                </c:pt>
                <c:pt idx="90">
                  <c:v>1471548.28</c:v>
                </c:pt>
                <c:pt idx="91">
                  <c:v>1471548.28</c:v>
                </c:pt>
                <c:pt idx="92">
                  <c:v>1525692.68</c:v>
                </c:pt>
                <c:pt idx="93">
                  <c:v>1525692.68</c:v>
                </c:pt>
                <c:pt idx="94">
                  <c:v>1525692.68</c:v>
                </c:pt>
                <c:pt idx="95">
                  <c:v>1525692.68</c:v>
                </c:pt>
                <c:pt idx="96">
                  <c:v>1525692.68</c:v>
                </c:pt>
                <c:pt idx="97">
                  <c:v>1525692.68</c:v>
                </c:pt>
                <c:pt idx="98">
                  <c:v>1525692.68</c:v>
                </c:pt>
                <c:pt idx="99">
                  <c:v>1525692.68</c:v>
                </c:pt>
                <c:pt idx="100">
                  <c:v>1525692.68</c:v>
                </c:pt>
                <c:pt idx="101">
                  <c:v>1525692.68</c:v>
                </c:pt>
                <c:pt idx="102">
                  <c:v>1525692.68</c:v>
                </c:pt>
                <c:pt idx="103">
                  <c:v>1525692.68</c:v>
                </c:pt>
                <c:pt idx="104">
                  <c:v>1525692.68</c:v>
                </c:pt>
                <c:pt idx="105">
                  <c:v>1525692.68</c:v>
                </c:pt>
                <c:pt idx="106">
                  <c:v>1525692.68</c:v>
                </c:pt>
                <c:pt idx="107">
                  <c:v>1525692.68</c:v>
                </c:pt>
                <c:pt idx="108">
                  <c:v>1525692.68</c:v>
                </c:pt>
                <c:pt idx="109">
                  <c:v>1525692.68</c:v>
                </c:pt>
                <c:pt idx="110">
                  <c:v>1525692.68</c:v>
                </c:pt>
                <c:pt idx="111">
                  <c:v>1525692.68</c:v>
                </c:pt>
                <c:pt idx="112">
                  <c:v>1525692.68</c:v>
                </c:pt>
                <c:pt idx="113">
                  <c:v>1525692.68</c:v>
                </c:pt>
                <c:pt idx="114">
                  <c:v>1525692.68</c:v>
                </c:pt>
                <c:pt idx="115">
                  <c:v>1525692.68</c:v>
                </c:pt>
                <c:pt idx="116">
                  <c:v>1525692.68</c:v>
                </c:pt>
                <c:pt idx="117">
                  <c:v>1525692.68</c:v>
                </c:pt>
                <c:pt idx="118">
                  <c:v>1525692.68</c:v>
                </c:pt>
                <c:pt idx="119">
                  <c:v>1525692.68</c:v>
                </c:pt>
                <c:pt idx="120">
                  <c:v>1525692.68</c:v>
                </c:pt>
                <c:pt idx="121">
                  <c:v>1525692.68</c:v>
                </c:pt>
                <c:pt idx="122">
                  <c:v>1525692.68</c:v>
                </c:pt>
                <c:pt idx="123">
                  <c:v>1525692.68</c:v>
                </c:pt>
                <c:pt idx="124">
                  <c:v>1525692.68</c:v>
                </c:pt>
                <c:pt idx="125">
                  <c:v>1525692.68</c:v>
                </c:pt>
                <c:pt idx="126">
                  <c:v>1525692.68</c:v>
                </c:pt>
                <c:pt idx="127">
                  <c:v>1525692.68</c:v>
                </c:pt>
                <c:pt idx="128">
                  <c:v>1525692.68</c:v>
                </c:pt>
                <c:pt idx="129">
                  <c:v>1525692.68</c:v>
                </c:pt>
                <c:pt idx="130">
                  <c:v>1525692.68</c:v>
                </c:pt>
                <c:pt idx="131">
                  <c:v>1525692.68</c:v>
                </c:pt>
                <c:pt idx="132">
                  <c:v>1525692.68</c:v>
                </c:pt>
                <c:pt idx="133">
                  <c:v>1525692.68</c:v>
                </c:pt>
                <c:pt idx="134">
                  <c:v>1525692.68</c:v>
                </c:pt>
                <c:pt idx="135">
                  <c:v>1525692.68</c:v>
                </c:pt>
                <c:pt idx="136">
                  <c:v>1525692.68</c:v>
                </c:pt>
                <c:pt idx="137">
                  <c:v>1525692.68</c:v>
                </c:pt>
                <c:pt idx="138">
                  <c:v>1525692.68</c:v>
                </c:pt>
                <c:pt idx="139">
                  <c:v>1525692.68</c:v>
                </c:pt>
                <c:pt idx="140">
                  <c:v>1525692.68</c:v>
                </c:pt>
                <c:pt idx="141">
                  <c:v>1525692.68</c:v>
                </c:pt>
                <c:pt idx="142">
                  <c:v>1525692.68</c:v>
                </c:pt>
                <c:pt idx="143">
                  <c:v>1525692.68</c:v>
                </c:pt>
                <c:pt idx="144">
                  <c:v>1525692.68</c:v>
                </c:pt>
                <c:pt idx="145">
                  <c:v>1525692.68</c:v>
                </c:pt>
                <c:pt idx="146">
                  <c:v>1525692.68</c:v>
                </c:pt>
                <c:pt idx="147">
                  <c:v>1525692.68</c:v>
                </c:pt>
                <c:pt idx="148">
                  <c:v>1525692.68</c:v>
                </c:pt>
                <c:pt idx="149">
                  <c:v>1525692.68</c:v>
                </c:pt>
                <c:pt idx="150">
                  <c:v>1525692.68</c:v>
                </c:pt>
                <c:pt idx="151">
                  <c:v>1525692.68</c:v>
                </c:pt>
                <c:pt idx="152">
                  <c:v>1525692.68</c:v>
                </c:pt>
                <c:pt idx="153">
                  <c:v>1525692.68</c:v>
                </c:pt>
                <c:pt idx="154">
                  <c:v>1525692.68</c:v>
                </c:pt>
                <c:pt idx="155">
                  <c:v>1525692.68</c:v>
                </c:pt>
                <c:pt idx="156">
                  <c:v>1525692.68</c:v>
                </c:pt>
                <c:pt idx="157">
                  <c:v>1525692.68</c:v>
                </c:pt>
                <c:pt idx="158">
                  <c:v>1525692.68</c:v>
                </c:pt>
                <c:pt idx="159">
                  <c:v>1525692.68</c:v>
                </c:pt>
                <c:pt idx="160">
                  <c:v>1525692.68</c:v>
                </c:pt>
                <c:pt idx="161">
                  <c:v>1525692.68</c:v>
                </c:pt>
                <c:pt idx="162">
                  <c:v>1525692.68</c:v>
                </c:pt>
                <c:pt idx="163">
                  <c:v>1525692.68</c:v>
                </c:pt>
                <c:pt idx="164">
                  <c:v>1525692.68</c:v>
                </c:pt>
                <c:pt idx="165">
                  <c:v>1525692.68</c:v>
                </c:pt>
                <c:pt idx="166">
                  <c:v>1525692.68</c:v>
                </c:pt>
                <c:pt idx="167">
                  <c:v>1525692.68</c:v>
                </c:pt>
                <c:pt idx="168">
                  <c:v>1525692.68</c:v>
                </c:pt>
                <c:pt idx="169">
                  <c:v>1525692.68</c:v>
                </c:pt>
                <c:pt idx="170">
                  <c:v>1525692.68</c:v>
                </c:pt>
                <c:pt idx="171">
                  <c:v>1525692.68</c:v>
                </c:pt>
                <c:pt idx="172">
                  <c:v>1525692.68</c:v>
                </c:pt>
                <c:pt idx="173">
                  <c:v>1525692.68</c:v>
                </c:pt>
                <c:pt idx="174">
                  <c:v>1525692.68</c:v>
                </c:pt>
                <c:pt idx="175">
                  <c:v>1525692.68</c:v>
                </c:pt>
                <c:pt idx="176">
                  <c:v>1525692.68</c:v>
                </c:pt>
                <c:pt idx="177">
                  <c:v>1525692.68</c:v>
                </c:pt>
                <c:pt idx="178">
                  <c:v>1525692.68</c:v>
                </c:pt>
                <c:pt idx="179">
                  <c:v>1525692.68</c:v>
                </c:pt>
                <c:pt idx="180">
                  <c:v>1525692.68</c:v>
                </c:pt>
                <c:pt idx="181">
                  <c:v>1525692.68</c:v>
                </c:pt>
                <c:pt idx="182">
                  <c:v>1525692.68</c:v>
                </c:pt>
                <c:pt idx="183">
                  <c:v>1525692.68</c:v>
                </c:pt>
                <c:pt idx="184">
                  <c:v>1425512.58</c:v>
                </c:pt>
                <c:pt idx="185">
                  <c:v>1425512.58</c:v>
                </c:pt>
                <c:pt idx="186">
                  <c:v>1425512.58</c:v>
                </c:pt>
                <c:pt idx="187">
                  <c:v>1425512.58</c:v>
                </c:pt>
                <c:pt idx="188">
                  <c:v>1425512.58</c:v>
                </c:pt>
                <c:pt idx="189">
                  <c:v>1425512.58</c:v>
                </c:pt>
                <c:pt idx="190">
                  <c:v>1425512.58</c:v>
                </c:pt>
                <c:pt idx="191">
                  <c:v>1425512.58</c:v>
                </c:pt>
                <c:pt idx="192">
                  <c:v>1425512.58</c:v>
                </c:pt>
                <c:pt idx="193">
                  <c:v>1425512.58</c:v>
                </c:pt>
                <c:pt idx="194">
                  <c:v>1425512.58</c:v>
                </c:pt>
                <c:pt idx="195">
                  <c:v>1425512.58</c:v>
                </c:pt>
                <c:pt idx="196">
                  <c:v>1425512.58</c:v>
                </c:pt>
                <c:pt idx="197">
                  <c:v>1425512.58</c:v>
                </c:pt>
                <c:pt idx="198">
                  <c:v>1425512.58</c:v>
                </c:pt>
                <c:pt idx="199">
                  <c:v>1425512.58</c:v>
                </c:pt>
                <c:pt idx="200">
                  <c:v>1425512.58</c:v>
                </c:pt>
                <c:pt idx="201">
                  <c:v>1425512.58</c:v>
                </c:pt>
                <c:pt idx="202">
                  <c:v>1425512.58</c:v>
                </c:pt>
                <c:pt idx="203">
                  <c:v>1425512.58</c:v>
                </c:pt>
                <c:pt idx="204">
                  <c:v>1425512.58</c:v>
                </c:pt>
                <c:pt idx="205">
                  <c:v>1425512.58</c:v>
                </c:pt>
                <c:pt idx="206">
                  <c:v>1425512.58</c:v>
                </c:pt>
                <c:pt idx="207">
                  <c:v>1425512.58</c:v>
                </c:pt>
                <c:pt idx="208">
                  <c:v>1425512.58</c:v>
                </c:pt>
                <c:pt idx="209">
                  <c:v>1425512.58</c:v>
                </c:pt>
                <c:pt idx="210">
                  <c:v>1425512.58</c:v>
                </c:pt>
                <c:pt idx="211">
                  <c:v>1425512.58</c:v>
                </c:pt>
                <c:pt idx="212">
                  <c:v>1425512.58</c:v>
                </c:pt>
                <c:pt idx="213">
                  <c:v>1425512.58</c:v>
                </c:pt>
                <c:pt idx="214">
                  <c:v>1425512.58</c:v>
                </c:pt>
                <c:pt idx="215">
                  <c:v>1425512.58</c:v>
                </c:pt>
                <c:pt idx="216">
                  <c:v>1425512.58</c:v>
                </c:pt>
                <c:pt idx="217">
                  <c:v>1425512.58</c:v>
                </c:pt>
                <c:pt idx="218">
                  <c:v>1425512.58</c:v>
                </c:pt>
                <c:pt idx="219">
                  <c:v>1425512.58</c:v>
                </c:pt>
                <c:pt idx="220">
                  <c:v>1425512.58</c:v>
                </c:pt>
                <c:pt idx="221">
                  <c:v>1425512.58</c:v>
                </c:pt>
                <c:pt idx="222">
                  <c:v>1425512.58</c:v>
                </c:pt>
                <c:pt idx="223">
                  <c:v>1425512.58</c:v>
                </c:pt>
                <c:pt idx="224">
                  <c:v>1425512.58</c:v>
                </c:pt>
                <c:pt idx="225">
                  <c:v>1425512.58</c:v>
                </c:pt>
                <c:pt idx="226">
                  <c:v>1425512.58</c:v>
                </c:pt>
                <c:pt idx="227">
                  <c:v>1425512.58</c:v>
                </c:pt>
                <c:pt idx="228">
                  <c:v>1425512.58</c:v>
                </c:pt>
                <c:pt idx="229">
                  <c:v>1425512.58</c:v>
                </c:pt>
                <c:pt idx="230">
                  <c:v>1425512.58</c:v>
                </c:pt>
                <c:pt idx="231">
                  <c:v>1425512.58</c:v>
                </c:pt>
                <c:pt idx="232">
                  <c:v>1425512.58</c:v>
                </c:pt>
                <c:pt idx="233">
                  <c:v>1425512.58</c:v>
                </c:pt>
                <c:pt idx="234">
                  <c:v>1425512.58</c:v>
                </c:pt>
                <c:pt idx="235">
                  <c:v>1425512.58</c:v>
                </c:pt>
                <c:pt idx="236">
                  <c:v>1425512.58</c:v>
                </c:pt>
                <c:pt idx="237">
                  <c:v>1425512.58</c:v>
                </c:pt>
                <c:pt idx="238">
                  <c:v>1425512.58</c:v>
                </c:pt>
                <c:pt idx="239">
                  <c:v>1425512.58</c:v>
                </c:pt>
                <c:pt idx="240">
                  <c:v>1425512.58</c:v>
                </c:pt>
                <c:pt idx="241">
                  <c:v>1425512.58</c:v>
                </c:pt>
                <c:pt idx="242">
                  <c:v>1425512.58</c:v>
                </c:pt>
                <c:pt idx="243">
                  <c:v>1425512.58</c:v>
                </c:pt>
                <c:pt idx="244">
                  <c:v>1425512.58</c:v>
                </c:pt>
                <c:pt idx="245">
                  <c:v>1425512.58</c:v>
                </c:pt>
                <c:pt idx="246">
                  <c:v>1425512.58</c:v>
                </c:pt>
                <c:pt idx="247">
                  <c:v>1425512.58</c:v>
                </c:pt>
                <c:pt idx="248">
                  <c:v>1425512.58</c:v>
                </c:pt>
                <c:pt idx="249">
                  <c:v>1425512.58</c:v>
                </c:pt>
                <c:pt idx="250">
                  <c:v>1425512.58</c:v>
                </c:pt>
                <c:pt idx="251">
                  <c:v>1425512.58</c:v>
                </c:pt>
                <c:pt idx="252">
                  <c:v>1425512.58</c:v>
                </c:pt>
                <c:pt idx="253">
                  <c:v>1425512.58</c:v>
                </c:pt>
                <c:pt idx="254">
                  <c:v>1425512.58</c:v>
                </c:pt>
                <c:pt idx="255">
                  <c:v>1425512.58</c:v>
                </c:pt>
                <c:pt idx="256">
                  <c:v>1425512.58</c:v>
                </c:pt>
                <c:pt idx="257">
                  <c:v>1425512.58</c:v>
                </c:pt>
                <c:pt idx="258">
                  <c:v>1425512.58</c:v>
                </c:pt>
                <c:pt idx="259">
                  <c:v>1425512.58</c:v>
                </c:pt>
                <c:pt idx="260">
                  <c:v>1425512.58</c:v>
                </c:pt>
                <c:pt idx="261">
                  <c:v>1425512.58</c:v>
                </c:pt>
                <c:pt idx="262">
                  <c:v>1425512.58</c:v>
                </c:pt>
                <c:pt idx="263">
                  <c:v>1425512.58</c:v>
                </c:pt>
                <c:pt idx="264">
                  <c:v>1425512.58</c:v>
                </c:pt>
                <c:pt idx="265">
                  <c:v>1425512.58</c:v>
                </c:pt>
                <c:pt idx="266">
                  <c:v>1425512.58</c:v>
                </c:pt>
                <c:pt idx="267">
                  <c:v>1425512.58</c:v>
                </c:pt>
                <c:pt idx="268">
                  <c:v>1425512.58</c:v>
                </c:pt>
                <c:pt idx="269">
                  <c:v>1425512.58</c:v>
                </c:pt>
                <c:pt idx="270">
                  <c:v>1425512.58</c:v>
                </c:pt>
                <c:pt idx="271">
                  <c:v>1425512.58</c:v>
                </c:pt>
                <c:pt idx="272">
                  <c:v>1425512.58</c:v>
                </c:pt>
                <c:pt idx="273">
                  <c:v>1425512.58</c:v>
                </c:pt>
                <c:pt idx="274">
                  <c:v>1425512.58</c:v>
                </c:pt>
                <c:pt idx="275">
                  <c:v>1884876.82</c:v>
                </c:pt>
                <c:pt idx="276">
                  <c:v>1884876.82</c:v>
                </c:pt>
                <c:pt idx="277">
                  <c:v>1884876.82</c:v>
                </c:pt>
                <c:pt idx="278">
                  <c:v>1884876.82</c:v>
                </c:pt>
                <c:pt idx="279">
                  <c:v>1884876.82</c:v>
                </c:pt>
                <c:pt idx="280">
                  <c:v>1884876.82</c:v>
                </c:pt>
                <c:pt idx="281">
                  <c:v>1884876.82</c:v>
                </c:pt>
                <c:pt idx="282">
                  <c:v>1884876.82</c:v>
                </c:pt>
                <c:pt idx="283">
                  <c:v>1884876.82</c:v>
                </c:pt>
                <c:pt idx="284">
                  <c:v>1884876.82</c:v>
                </c:pt>
                <c:pt idx="285">
                  <c:v>1884876.82</c:v>
                </c:pt>
                <c:pt idx="286">
                  <c:v>1884876.82</c:v>
                </c:pt>
                <c:pt idx="287">
                  <c:v>1884876.82</c:v>
                </c:pt>
                <c:pt idx="288">
                  <c:v>1884876.82</c:v>
                </c:pt>
                <c:pt idx="289">
                  <c:v>1884876.82</c:v>
                </c:pt>
                <c:pt idx="290">
                  <c:v>1884876.82</c:v>
                </c:pt>
                <c:pt idx="291">
                  <c:v>1884876.82</c:v>
                </c:pt>
                <c:pt idx="292">
                  <c:v>1884876.82</c:v>
                </c:pt>
                <c:pt idx="293">
                  <c:v>1884876.82</c:v>
                </c:pt>
                <c:pt idx="294">
                  <c:v>1884876.82</c:v>
                </c:pt>
                <c:pt idx="295">
                  <c:v>1884876.82</c:v>
                </c:pt>
                <c:pt idx="296">
                  <c:v>1884876.82</c:v>
                </c:pt>
                <c:pt idx="297">
                  <c:v>1884876.82</c:v>
                </c:pt>
                <c:pt idx="298">
                  <c:v>1884876.82</c:v>
                </c:pt>
                <c:pt idx="299">
                  <c:v>1884876.82</c:v>
                </c:pt>
                <c:pt idx="300">
                  <c:v>1884876.82</c:v>
                </c:pt>
                <c:pt idx="301">
                  <c:v>1884876.82</c:v>
                </c:pt>
                <c:pt idx="302">
                  <c:v>1884876.82</c:v>
                </c:pt>
                <c:pt idx="303">
                  <c:v>1884876.82</c:v>
                </c:pt>
                <c:pt idx="304">
                  <c:v>1884876.82</c:v>
                </c:pt>
                <c:pt idx="305">
                  <c:v>1884876.82</c:v>
                </c:pt>
                <c:pt idx="306">
                  <c:v>1884876.82</c:v>
                </c:pt>
                <c:pt idx="307">
                  <c:v>1884876.82</c:v>
                </c:pt>
                <c:pt idx="308">
                  <c:v>1884876.82</c:v>
                </c:pt>
                <c:pt idx="309">
                  <c:v>1884876.82</c:v>
                </c:pt>
                <c:pt idx="310">
                  <c:v>1884876.82</c:v>
                </c:pt>
                <c:pt idx="311">
                  <c:v>1884876.82</c:v>
                </c:pt>
                <c:pt idx="312">
                  <c:v>1884876.82</c:v>
                </c:pt>
                <c:pt idx="313">
                  <c:v>1884876.82</c:v>
                </c:pt>
                <c:pt idx="314">
                  <c:v>1884876.82</c:v>
                </c:pt>
                <c:pt idx="315">
                  <c:v>1884876.82</c:v>
                </c:pt>
                <c:pt idx="316">
                  <c:v>1884876.82</c:v>
                </c:pt>
                <c:pt idx="317">
                  <c:v>1884876.82</c:v>
                </c:pt>
                <c:pt idx="318">
                  <c:v>1884876.82</c:v>
                </c:pt>
                <c:pt idx="319">
                  <c:v>1884876.82</c:v>
                </c:pt>
                <c:pt idx="320">
                  <c:v>1884876.82</c:v>
                </c:pt>
                <c:pt idx="321">
                  <c:v>1884876.82</c:v>
                </c:pt>
                <c:pt idx="322">
                  <c:v>1884876.82</c:v>
                </c:pt>
                <c:pt idx="323">
                  <c:v>1884876.82</c:v>
                </c:pt>
                <c:pt idx="324">
                  <c:v>1884876.82</c:v>
                </c:pt>
                <c:pt idx="325">
                  <c:v>1884876.82</c:v>
                </c:pt>
                <c:pt idx="326">
                  <c:v>1884876.82</c:v>
                </c:pt>
                <c:pt idx="327">
                  <c:v>1884876.82</c:v>
                </c:pt>
                <c:pt idx="328">
                  <c:v>1884876.82</c:v>
                </c:pt>
                <c:pt idx="329">
                  <c:v>1884876.82</c:v>
                </c:pt>
                <c:pt idx="330">
                  <c:v>1884876.82</c:v>
                </c:pt>
                <c:pt idx="331">
                  <c:v>1884876.82</c:v>
                </c:pt>
                <c:pt idx="332">
                  <c:v>1884876.82</c:v>
                </c:pt>
                <c:pt idx="333">
                  <c:v>1884876.82</c:v>
                </c:pt>
                <c:pt idx="334">
                  <c:v>1884876.82</c:v>
                </c:pt>
                <c:pt idx="335">
                  <c:v>1884876.82</c:v>
                </c:pt>
                <c:pt idx="336">
                  <c:v>1884876.82</c:v>
                </c:pt>
                <c:pt idx="337">
                  <c:v>1884876.82</c:v>
                </c:pt>
                <c:pt idx="338">
                  <c:v>1884876.82</c:v>
                </c:pt>
                <c:pt idx="339">
                  <c:v>1884876.82</c:v>
                </c:pt>
                <c:pt idx="340">
                  <c:v>1884876.82</c:v>
                </c:pt>
                <c:pt idx="341">
                  <c:v>1884876.82</c:v>
                </c:pt>
                <c:pt idx="342">
                  <c:v>1884876.82</c:v>
                </c:pt>
                <c:pt idx="343">
                  <c:v>1884876.82</c:v>
                </c:pt>
                <c:pt idx="344">
                  <c:v>1884876.82</c:v>
                </c:pt>
                <c:pt idx="345">
                  <c:v>1884876.82</c:v>
                </c:pt>
                <c:pt idx="346">
                  <c:v>1884876.82</c:v>
                </c:pt>
                <c:pt idx="347">
                  <c:v>1884876.82</c:v>
                </c:pt>
                <c:pt idx="348">
                  <c:v>1884876.82</c:v>
                </c:pt>
                <c:pt idx="349">
                  <c:v>1884876.82</c:v>
                </c:pt>
                <c:pt idx="350">
                  <c:v>1884876.82</c:v>
                </c:pt>
                <c:pt idx="351">
                  <c:v>1884876.82</c:v>
                </c:pt>
                <c:pt idx="352">
                  <c:v>1884876.82</c:v>
                </c:pt>
                <c:pt idx="353">
                  <c:v>1884876.82</c:v>
                </c:pt>
                <c:pt idx="354">
                  <c:v>1884876.82</c:v>
                </c:pt>
                <c:pt idx="355">
                  <c:v>1884876.82</c:v>
                </c:pt>
                <c:pt idx="356">
                  <c:v>1884876.82</c:v>
                </c:pt>
                <c:pt idx="357">
                  <c:v>1884876.82</c:v>
                </c:pt>
                <c:pt idx="358">
                  <c:v>1884876.82</c:v>
                </c:pt>
                <c:pt idx="359">
                  <c:v>1884876.82</c:v>
                </c:pt>
                <c:pt idx="360">
                  <c:v>1884876.82</c:v>
                </c:pt>
                <c:pt idx="361">
                  <c:v>1884876.82</c:v>
                </c:pt>
                <c:pt idx="362">
                  <c:v>1884876.82</c:v>
                </c:pt>
                <c:pt idx="363">
                  <c:v>1884876.82</c:v>
                </c:pt>
                <c:pt idx="364">
                  <c:v>1884876.82</c:v>
                </c:pt>
                <c:pt idx="365">
                  <c:v>1884876.82</c:v>
                </c:pt>
                <c:pt idx="366">
                  <c:v>2014572.3</c:v>
                </c:pt>
                <c:pt idx="367">
                  <c:v>2014572.3</c:v>
                </c:pt>
                <c:pt idx="368">
                  <c:v>2014572.3</c:v>
                </c:pt>
                <c:pt idx="369">
                  <c:v>2014572.3</c:v>
                </c:pt>
                <c:pt idx="370">
                  <c:v>2014572.3</c:v>
                </c:pt>
                <c:pt idx="371">
                  <c:v>2014572.3</c:v>
                </c:pt>
                <c:pt idx="372">
                  <c:v>2014572.3</c:v>
                </c:pt>
                <c:pt idx="373">
                  <c:v>2014572.3</c:v>
                </c:pt>
                <c:pt idx="374">
                  <c:v>2014572.3</c:v>
                </c:pt>
                <c:pt idx="375">
                  <c:v>2014572.3</c:v>
                </c:pt>
                <c:pt idx="376">
                  <c:v>2014572.3</c:v>
                </c:pt>
                <c:pt idx="377">
                  <c:v>2014572.3</c:v>
                </c:pt>
                <c:pt idx="378">
                  <c:v>2014572.3</c:v>
                </c:pt>
                <c:pt idx="379">
                  <c:v>2014572.3</c:v>
                </c:pt>
                <c:pt idx="380">
                  <c:v>2014572.3</c:v>
                </c:pt>
                <c:pt idx="381">
                  <c:v>2014572.3</c:v>
                </c:pt>
                <c:pt idx="382">
                  <c:v>2014572.3</c:v>
                </c:pt>
                <c:pt idx="383">
                  <c:v>2014572.3</c:v>
                </c:pt>
                <c:pt idx="384">
                  <c:v>2014572.3</c:v>
                </c:pt>
                <c:pt idx="385">
                  <c:v>2014572.3</c:v>
                </c:pt>
                <c:pt idx="386">
                  <c:v>2014572.3</c:v>
                </c:pt>
                <c:pt idx="387">
                  <c:v>2014572.3</c:v>
                </c:pt>
                <c:pt idx="388">
                  <c:v>2014572.3</c:v>
                </c:pt>
                <c:pt idx="389">
                  <c:v>2014572.3</c:v>
                </c:pt>
                <c:pt idx="390">
                  <c:v>2014572.3</c:v>
                </c:pt>
                <c:pt idx="391">
                  <c:v>2014572.3</c:v>
                </c:pt>
                <c:pt idx="392">
                  <c:v>2014572.3</c:v>
                </c:pt>
                <c:pt idx="393">
                  <c:v>2014572.3</c:v>
                </c:pt>
                <c:pt idx="394">
                  <c:v>2014572.3</c:v>
                </c:pt>
                <c:pt idx="395">
                  <c:v>2014572.3</c:v>
                </c:pt>
                <c:pt idx="396">
                  <c:v>2014572.3</c:v>
                </c:pt>
                <c:pt idx="397">
                  <c:v>2014572.3</c:v>
                </c:pt>
                <c:pt idx="398">
                  <c:v>2014572.3</c:v>
                </c:pt>
                <c:pt idx="399">
                  <c:v>2014572.3</c:v>
                </c:pt>
                <c:pt idx="400">
                  <c:v>2014572.3</c:v>
                </c:pt>
                <c:pt idx="401">
                  <c:v>2014572.3</c:v>
                </c:pt>
                <c:pt idx="402">
                  <c:v>2014572.3</c:v>
                </c:pt>
                <c:pt idx="403">
                  <c:v>2014572.3</c:v>
                </c:pt>
                <c:pt idx="404">
                  <c:v>2014572.3</c:v>
                </c:pt>
                <c:pt idx="405">
                  <c:v>2014572.3</c:v>
                </c:pt>
                <c:pt idx="406">
                  <c:v>2014572.3</c:v>
                </c:pt>
                <c:pt idx="407">
                  <c:v>2014572.3</c:v>
                </c:pt>
                <c:pt idx="408">
                  <c:v>2014572.3</c:v>
                </c:pt>
                <c:pt idx="409">
                  <c:v>2014572.3</c:v>
                </c:pt>
                <c:pt idx="410">
                  <c:v>2014572.3</c:v>
                </c:pt>
                <c:pt idx="411">
                  <c:v>2014572.3</c:v>
                </c:pt>
                <c:pt idx="412">
                  <c:v>2014572.3</c:v>
                </c:pt>
                <c:pt idx="413">
                  <c:v>2014572.3</c:v>
                </c:pt>
                <c:pt idx="414">
                  <c:v>2014572.3</c:v>
                </c:pt>
                <c:pt idx="415">
                  <c:v>2014572.3</c:v>
                </c:pt>
                <c:pt idx="416">
                  <c:v>2014572.3</c:v>
                </c:pt>
                <c:pt idx="417">
                  <c:v>2014572.3</c:v>
                </c:pt>
                <c:pt idx="418">
                  <c:v>2014572.3</c:v>
                </c:pt>
                <c:pt idx="419">
                  <c:v>2014572.3</c:v>
                </c:pt>
                <c:pt idx="420">
                  <c:v>2014572.3</c:v>
                </c:pt>
                <c:pt idx="421">
                  <c:v>2014572.3</c:v>
                </c:pt>
                <c:pt idx="422">
                  <c:v>2014572.3</c:v>
                </c:pt>
                <c:pt idx="423">
                  <c:v>2014572.3</c:v>
                </c:pt>
                <c:pt idx="424">
                  <c:v>2014572.3</c:v>
                </c:pt>
                <c:pt idx="425">
                  <c:v>2014572.3</c:v>
                </c:pt>
                <c:pt idx="426">
                  <c:v>2014572.3</c:v>
                </c:pt>
                <c:pt idx="427">
                  <c:v>2014572.3</c:v>
                </c:pt>
                <c:pt idx="428">
                  <c:v>2014572.3</c:v>
                </c:pt>
                <c:pt idx="429">
                  <c:v>2014572.3</c:v>
                </c:pt>
                <c:pt idx="430">
                  <c:v>2014572.3</c:v>
                </c:pt>
                <c:pt idx="431">
                  <c:v>2014572.3</c:v>
                </c:pt>
                <c:pt idx="432">
                  <c:v>2014572.3</c:v>
                </c:pt>
                <c:pt idx="433">
                  <c:v>2014572.3</c:v>
                </c:pt>
                <c:pt idx="434">
                  <c:v>2014572.3</c:v>
                </c:pt>
                <c:pt idx="435">
                  <c:v>2014572.3</c:v>
                </c:pt>
                <c:pt idx="436">
                  <c:v>2014572.3</c:v>
                </c:pt>
                <c:pt idx="437">
                  <c:v>2014572.3</c:v>
                </c:pt>
                <c:pt idx="438">
                  <c:v>2014572.3</c:v>
                </c:pt>
                <c:pt idx="439">
                  <c:v>2014572.3</c:v>
                </c:pt>
                <c:pt idx="440">
                  <c:v>2014572.3</c:v>
                </c:pt>
                <c:pt idx="441">
                  <c:v>2014572.3</c:v>
                </c:pt>
                <c:pt idx="442">
                  <c:v>2014572.3</c:v>
                </c:pt>
                <c:pt idx="443">
                  <c:v>2014572.3</c:v>
                </c:pt>
                <c:pt idx="444">
                  <c:v>2014572.3</c:v>
                </c:pt>
                <c:pt idx="445">
                  <c:v>2014572.3</c:v>
                </c:pt>
                <c:pt idx="446">
                  <c:v>2014572.3</c:v>
                </c:pt>
                <c:pt idx="447">
                  <c:v>2014572.3</c:v>
                </c:pt>
                <c:pt idx="448">
                  <c:v>2014572.3</c:v>
                </c:pt>
                <c:pt idx="449">
                  <c:v>2014572.3</c:v>
                </c:pt>
                <c:pt idx="450">
                  <c:v>2014572.3</c:v>
                </c:pt>
                <c:pt idx="451">
                  <c:v>2014572.3</c:v>
                </c:pt>
                <c:pt idx="452">
                  <c:v>2014572.3</c:v>
                </c:pt>
                <c:pt idx="453">
                  <c:v>2014572.3</c:v>
                </c:pt>
                <c:pt idx="454">
                  <c:v>2014572.3</c:v>
                </c:pt>
                <c:pt idx="455">
                  <c:v>2014572.3</c:v>
                </c:pt>
                <c:pt idx="456">
                  <c:v>2014572.3</c:v>
                </c:pt>
                <c:pt idx="457">
                  <c:v>2014572.3</c:v>
                </c:pt>
              </c:numCache>
            </c:numRef>
          </c:val>
          <c:smooth val="0"/>
          <c:extLst xmlns:c16r2="http://schemas.microsoft.com/office/drawing/2015/06/chart">
            <c:ext xmlns:c16="http://schemas.microsoft.com/office/drawing/2014/chart" uri="{C3380CC4-5D6E-409C-BE32-E72D297353CC}">
              <c16:uniqueId val="{00000001-5933-40F5-9F00-422A069B1055}"/>
            </c:ext>
          </c:extLst>
        </c:ser>
        <c:dLbls>
          <c:showLegendKey val="0"/>
          <c:showVal val="0"/>
          <c:showCatName val="0"/>
          <c:showSerName val="0"/>
          <c:showPercent val="0"/>
          <c:showBubbleSize val="0"/>
        </c:dLbls>
        <c:smooth val="0"/>
        <c:axId val="291253344"/>
        <c:axId val="291246624"/>
      </c:lineChart>
      <c:catAx>
        <c:axId val="291253344"/>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it-IT"/>
          </a:p>
        </c:txPr>
        <c:crossAx val="291246624"/>
        <c:crosses val="autoZero"/>
        <c:auto val="1"/>
        <c:lblAlgn val="ctr"/>
        <c:lblOffset val="100"/>
        <c:noMultiLvlLbl val="0"/>
      </c:catAx>
      <c:valAx>
        <c:axId val="291246624"/>
        <c:scaling>
          <c:orientation val="minMax"/>
          <c:max val="2200000"/>
          <c:min val="1000000"/>
        </c:scaling>
        <c:delete val="0"/>
        <c:axPos val="l"/>
        <c:numFmt formatCode="#,##0" sourceLinked="0"/>
        <c:majorTickMark val="out"/>
        <c:minorTickMark val="none"/>
        <c:tickLblPos val="nextTo"/>
        <c:txPr>
          <a:bodyPr/>
          <a:lstStyle/>
          <a:p>
            <a:pPr>
              <a:defRPr sz="800">
                <a:latin typeface="Arial Narrow" panose="020B0606020202030204" pitchFamily="34" charset="0"/>
              </a:defRPr>
            </a:pPr>
            <a:endParaRPr lang="it-IT"/>
          </a:p>
        </c:txPr>
        <c:crossAx val="291253344"/>
        <c:crosses val="autoZero"/>
        <c:crossBetween val="between"/>
      </c:valAx>
    </c:plotArea>
    <c:legend>
      <c:legendPos val="r"/>
      <c:layout>
        <c:manualLayout>
          <c:xMode val="edge"/>
          <c:yMode val="edge"/>
          <c:x val="0.68563875860774015"/>
          <c:y val="0.47916231523691116"/>
          <c:w val="0.28118342905426091"/>
          <c:h val="0.21009642215775659"/>
        </c:manualLayout>
      </c:layout>
      <c:overlay val="0"/>
      <c:txPr>
        <a:bodyPr/>
        <a:lstStyle/>
        <a:p>
          <a:pPr>
            <a:defRPr sz="800">
              <a:latin typeface="Arial Narrow" panose="020B0606020202030204" pitchFamily="34" charset="0"/>
            </a:defRPr>
          </a:pPr>
          <a:endParaRPr lang="it-IT"/>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800"/>
            </a:pPr>
            <a:r>
              <a:rPr lang="en-US" sz="800" b="1" i="0" baseline="0">
                <a:effectLst/>
              </a:rPr>
              <a:t>ATTIVAZIONI E CESSAZIONI NEGLI ULTIMI QUATTRO TRIMESTRI</a:t>
            </a:r>
          </a:p>
          <a:p>
            <a:pPr>
              <a:defRPr sz="800"/>
            </a:pPr>
            <a:r>
              <a:rPr lang="en-US" sz="800" b="1" i="0" baseline="0">
                <a:effectLst/>
              </a:rPr>
              <a:t> </a:t>
            </a:r>
            <a:r>
              <a:rPr lang="en-US" sz="800" b="0" i="0" u="none" strike="noStrike" baseline="0">
                <a:effectLst/>
              </a:rPr>
              <a:t>(valori assolutiI)</a:t>
            </a:r>
            <a:r>
              <a:rPr lang="en-US" sz="800" b="0" i="0" baseline="0">
                <a:effectLst/>
              </a:rPr>
              <a:t> </a:t>
            </a:r>
            <a:endParaRPr lang="it-IT" sz="800" b="0">
              <a:effectLst/>
            </a:endParaRPr>
          </a:p>
        </c:rich>
      </c:tx>
      <c:layout>
        <c:manualLayout>
          <c:xMode val="edge"/>
          <c:yMode val="edge"/>
          <c:x val="0.17090555809583496"/>
          <c:y val="2.1031544207527484E-2"/>
        </c:manualLayout>
      </c:layout>
      <c:overlay val="0"/>
    </c:title>
    <c:autoTitleDeleted val="0"/>
    <c:plotArea>
      <c:layout>
        <c:manualLayout>
          <c:layoutTarget val="inner"/>
          <c:xMode val="edge"/>
          <c:yMode val="edge"/>
          <c:x val="8.1612936544562933E-2"/>
          <c:y val="4.4809827324222708E-2"/>
          <c:w val="0.89439637692347285"/>
          <c:h val="0.8133770228646019"/>
        </c:manualLayout>
      </c:layout>
      <c:barChart>
        <c:barDir val="col"/>
        <c:grouping val="clustered"/>
        <c:varyColors val="0"/>
        <c:ser>
          <c:idx val="0"/>
          <c:order val="0"/>
          <c:tx>
            <c:strRef>
              <c:f>'Figura 1 CO'!$C$7</c:f>
              <c:strCache>
                <c:ptCount val="1"/>
                <c:pt idx="0">
                  <c:v>Attivazioni</c:v>
                </c:pt>
              </c:strCache>
            </c:strRef>
          </c:tx>
          <c:spPr>
            <a:solidFill>
              <a:schemeClr val="bg1">
                <a:lumMod val="65000"/>
              </a:schemeClr>
            </a:solidFill>
            <a:ln w="41275"/>
          </c:spPr>
          <c:invertIfNegative val="0"/>
          <c:cat>
            <c:multiLvlStrRef>
              <c:f>'Figura 1 CO'!$A$12:$B$32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CO'!$C$12:$C$32</c:f>
              <c:numCache>
                <c:formatCode>#,##0</c:formatCode>
                <c:ptCount val="21"/>
                <c:pt idx="0">
                  <c:v>8240.2180000000008</c:v>
                </c:pt>
                <c:pt idx="1">
                  <c:v>8390.8590000000004</c:v>
                </c:pt>
                <c:pt idx="2">
                  <c:v>8480.9079999999994</c:v>
                </c:pt>
                <c:pt idx="3">
                  <c:v>8546.2900000000009</c:v>
                </c:pt>
                <c:pt idx="4">
                  <c:v>8656.387999999999</c:v>
                </c:pt>
                <c:pt idx="5">
                  <c:v>8817.1820000000007</c:v>
                </c:pt>
                <c:pt idx="6">
                  <c:v>8941.7439999999988</c:v>
                </c:pt>
                <c:pt idx="7">
                  <c:v>9044.2330000000002</c:v>
                </c:pt>
                <c:pt idx="8">
                  <c:v>9145.7039999999997</c:v>
                </c:pt>
                <c:pt idx="9">
                  <c:v>8817.4449999999997</c:v>
                </c:pt>
                <c:pt idx="10">
                  <c:v>8697.5169999999998</c:v>
                </c:pt>
                <c:pt idx="11">
                  <c:v>8648.348</c:v>
                </c:pt>
                <c:pt idx="12">
                  <c:v>8538.5460000000003</c:v>
                </c:pt>
                <c:pt idx="13">
                  <c:v>8847.3529999999992</c:v>
                </c:pt>
                <c:pt idx="14">
                  <c:v>9145.8230000000003</c:v>
                </c:pt>
                <c:pt idx="15">
                  <c:v>9350.8889999999992</c:v>
                </c:pt>
                <c:pt idx="16">
                  <c:v>9558.0650000000005</c:v>
                </c:pt>
                <c:pt idx="17">
                  <c:v>9695.8819999999996</c:v>
                </c:pt>
                <c:pt idx="18">
                  <c:v>9839.7020000000011</c:v>
                </c:pt>
                <c:pt idx="19">
                  <c:v>9964.2489999999998</c:v>
                </c:pt>
                <c:pt idx="20">
                  <c:v>10042.087</c:v>
                </c:pt>
              </c:numCache>
            </c:numRef>
          </c:val>
          <c:extLst xmlns:c16r2="http://schemas.microsoft.com/office/drawing/2015/06/chart">
            <c:ext xmlns:c16="http://schemas.microsoft.com/office/drawing/2014/chart" uri="{C3380CC4-5D6E-409C-BE32-E72D297353CC}">
              <c16:uniqueId val="{00000000-AA5B-4628-AB68-276DFE4C53FA}"/>
            </c:ext>
          </c:extLst>
        </c:ser>
        <c:ser>
          <c:idx val="1"/>
          <c:order val="1"/>
          <c:tx>
            <c:strRef>
              <c:f>'Figura 1 CO'!$D$7</c:f>
              <c:strCache>
                <c:ptCount val="1"/>
                <c:pt idx="0">
                  <c:v>Cessazioni</c:v>
                </c:pt>
              </c:strCache>
            </c:strRef>
          </c:tx>
          <c:spPr>
            <a:solidFill>
              <a:srgbClr val="00B050"/>
            </a:solidFill>
            <a:ln w="41275"/>
          </c:spPr>
          <c:invertIfNegative val="0"/>
          <c:cat>
            <c:multiLvlStrRef>
              <c:f>'Figura 1 CO'!$A$12:$B$32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CO'!$D$12:$D$32</c:f>
              <c:numCache>
                <c:formatCode>#,##0</c:formatCode>
                <c:ptCount val="21"/>
                <c:pt idx="0">
                  <c:v>8229.1090000000004</c:v>
                </c:pt>
                <c:pt idx="1">
                  <c:v>8298.5319999999992</c:v>
                </c:pt>
                <c:pt idx="2">
                  <c:v>8361.7950000000001</c:v>
                </c:pt>
                <c:pt idx="3">
                  <c:v>8456.8150000000005</c:v>
                </c:pt>
                <c:pt idx="4">
                  <c:v>8566.505000000001</c:v>
                </c:pt>
                <c:pt idx="5">
                  <c:v>8634.4789999999994</c:v>
                </c:pt>
                <c:pt idx="6">
                  <c:v>8685.0470000000005</c:v>
                </c:pt>
                <c:pt idx="7">
                  <c:v>8636.8979999999992</c:v>
                </c:pt>
                <c:pt idx="8">
                  <c:v>8466.0879999999997</c:v>
                </c:pt>
                <c:pt idx="9">
                  <c:v>8175.7749999999996</c:v>
                </c:pt>
                <c:pt idx="10">
                  <c:v>8106.369999999999</c:v>
                </c:pt>
                <c:pt idx="11">
                  <c:v>8126.4639999999999</c:v>
                </c:pt>
                <c:pt idx="12">
                  <c:v>8161.3629999999994</c:v>
                </c:pt>
                <c:pt idx="13">
                  <c:v>8366.5169999999998</c:v>
                </c:pt>
                <c:pt idx="14">
                  <c:v>8621.9609999999993</c:v>
                </c:pt>
                <c:pt idx="15">
                  <c:v>8866.8050000000003</c:v>
                </c:pt>
                <c:pt idx="16">
                  <c:v>9076.4579999999987</c:v>
                </c:pt>
                <c:pt idx="17">
                  <c:v>9244.1059999999998</c:v>
                </c:pt>
                <c:pt idx="18">
                  <c:v>9439.01</c:v>
                </c:pt>
                <c:pt idx="19">
                  <c:v>9579.8919999999998</c:v>
                </c:pt>
                <c:pt idx="20">
                  <c:v>9665.8280000000013</c:v>
                </c:pt>
              </c:numCache>
            </c:numRef>
          </c:val>
          <c:extLst xmlns:c16r2="http://schemas.microsoft.com/office/drawing/2015/06/chart">
            <c:ext xmlns:c16="http://schemas.microsoft.com/office/drawing/2014/chart" uri="{C3380CC4-5D6E-409C-BE32-E72D297353CC}">
              <c16:uniqueId val="{00000001-AA5B-4628-AB68-276DFE4C53FA}"/>
            </c:ext>
          </c:extLst>
        </c:ser>
        <c:dLbls>
          <c:showLegendKey val="0"/>
          <c:showVal val="0"/>
          <c:showCatName val="0"/>
          <c:showSerName val="0"/>
          <c:showPercent val="0"/>
          <c:showBubbleSize val="0"/>
        </c:dLbls>
        <c:gapWidth val="45"/>
        <c:axId val="437800800"/>
        <c:axId val="436182512"/>
      </c:barChart>
      <c:catAx>
        <c:axId val="437800800"/>
        <c:scaling>
          <c:orientation val="minMax"/>
        </c:scaling>
        <c:delete val="0"/>
        <c:axPos val="b"/>
        <c:numFmt formatCode="General" sourceLinked="0"/>
        <c:majorTickMark val="out"/>
        <c:minorTickMark val="none"/>
        <c:tickLblPos val="low"/>
        <c:crossAx val="436182512"/>
        <c:crosses val="autoZero"/>
        <c:auto val="1"/>
        <c:lblAlgn val="ctr"/>
        <c:lblOffset val="100"/>
        <c:noMultiLvlLbl val="0"/>
      </c:catAx>
      <c:valAx>
        <c:axId val="436182512"/>
        <c:scaling>
          <c:orientation val="minMax"/>
          <c:max val="12000"/>
          <c:min val="4000"/>
        </c:scaling>
        <c:delete val="0"/>
        <c:axPos val="l"/>
        <c:majorGridlines>
          <c:spPr>
            <a:ln>
              <a:noFill/>
            </a:ln>
          </c:spPr>
        </c:majorGridlines>
        <c:numFmt formatCode="#,##0" sourceLinked="1"/>
        <c:majorTickMark val="out"/>
        <c:minorTickMark val="none"/>
        <c:tickLblPos val="nextTo"/>
        <c:crossAx val="437800800"/>
        <c:crosses val="autoZero"/>
        <c:crossBetween val="between"/>
      </c:valAx>
    </c:plotArea>
    <c:legend>
      <c:legendPos val="r"/>
      <c:layout>
        <c:manualLayout>
          <c:xMode val="edge"/>
          <c:yMode val="edge"/>
          <c:x val="0.10420799838466793"/>
          <c:y val="0.11192394400946477"/>
          <c:w val="0.14451101094191399"/>
          <c:h val="8.4628268315440611E-2"/>
        </c:manualLayout>
      </c:layout>
      <c:overlay val="0"/>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800" b="1" i="0" u="none" strike="noStrike" kern="1200" cap="all" baseline="0">
                <a:solidFill>
                  <a:sysClr val="windowText" lastClr="000000"/>
                </a:solidFill>
                <a:effectLst/>
                <a:latin typeface="Arial Narrow" panose="020B0606020202030204" pitchFamily="34" charset="0"/>
                <a:ea typeface="+mn-ea"/>
                <a:cs typeface="+mn-cs"/>
              </a:defRPr>
            </a:pPr>
            <a:r>
              <a:rPr lang="it-IT" sz="800" b="1" i="0" u="none" strike="noStrike" kern="1200" cap="all" baseline="0">
                <a:solidFill>
                  <a:sysClr val="windowText" lastClr="000000"/>
                </a:solidFill>
                <a:effectLst/>
                <a:latin typeface="Arial Narrow" panose="020B0606020202030204" pitchFamily="34" charset="0"/>
                <a:ea typeface="+mn-ea"/>
                <a:cs typeface="+mn-cs"/>
              </a:rPr>
              <a:t>pOSIZIONI LAVORATIVE</a:t>
            </a:r>
            <a:r>
              <a:rPr lang="it-IT" sz="800" b="1" i="0" u="none" strike="noStrike" cap="all" baseline="0">
                <a:effectLst/>
              </a:rPr>
              <a:t> </a:t>
            </a:r>
            <a:r>
              <a:rPr lang="it-IT" sz="800" b="1" i="0" u="none" strike="noStrike" cap="none" baseline="0">
                <a:effectLst/>
              </a:rPr>
              <a:t>(a)</a:t>
            </a:r>
            <a:r>
              <a:rPr lang="it-IT" sz="800" b="1" i="0" u="none" strike="noStrike" kern="1200" cap="all" baseline="0">
                <a:solidFill>
                  <a:sysClr val="windowText" lastClr="000000"/>
                </a:solidFill>
                <a:effectLst/>
                <a:latin typeface="Arial Narrow" panose="020B0606020202030204" pitchFamily="34" charset="0"/>
                <a:ea typeface="+mn-ea"/>
                <a:cs typeface="+mn-cs"/>
              </a:rPr>
              <a:t> per tipologia di contratto </a:t>
            </a:r>
          </a:p>
          <a:p>
            <a:pPr algn="ctr" rtl="0">
              <a:defRPr lang="en-US" sz="800" b="1" i="0" u="none" strike="noStrike" kern="1200" cap="all" baseline="0">
                <a:solidFill>
                  <a:sysClr val="windowText" lastClr="000000"/>
                </a:solidFill>
                <a:effectLst/>
                <a:latin typeface="Arial Narrow" panose="020B0606020202030204" pitchFamily="34" charset="0"/>
                <a:ea typeface="+mn-ea"/>
                <a:cs typeface="+mn-cs"/>
              </a:defRPr>
            </a:pPr>
            <a:r>
              <a:rPr lang="it-IT" sz="800" b="0" i="0" u="none" strike="noStrike" kern="1200" cap="none" baseline="0">
                <a:solidFill>
                  <a:sysClr val="windowText" lastClr="000000"/>
                </a:solidFill>
                <a:effectLst/>
                <a:latin typeface="Arial Narrow" panose="020B0606020202030204" pitchFamily="34" charset="0"/>
                <a:ea typeface="+mn-ea"/>
                <a:cs typeface="+mn-cs"/>
              </a:rPr>
              <a:t>(variazioni congiunturali)</a:t>
            </a:r>
            <a:endParaRPr lang="en-US" sz="800" b="0" i="0" u="none" strike="noStrike" kern="1200" cap="all" baseline="0">
              <a:solidFill>
                <a:sysClr val="windowText" lastClr="000000"/>
              </a:solidFill>
              <a:effectLst/>
              <a:latin typeface="Arial Narrow" panose="020B0606020202030204" pitchFamily="34" charset="0"/>
              <a:ea typeface="+mn-ea"/>
              <a:cs typeface="+mn-cs"/>
            </a:endParaRPr>
          </a:p>
        </c:rich>
      </c:tx>
      <c:layout>
        <c:manualLayout>
          <c:xMode val="edge"/>
          <c:yMode val="edge"/>
          <c:x val="0.16641317706581019"/>
          <c:y val="1.8503339586345334E-2"/>
        </c:manualLayout>
      </c:layout>
      <c:overlay val="1"/>
    </c:title>
    <c:autoTitleDeleted val="0"/>
    <c:plotArea>
      <c:layout>
        <c:manualLayout>
          <c:layoutTarget val="inner"/>
          <c:xMode val="edge"/>
          <c:yMode val="edge"/>
          <c:x val="7.6220616673554883E-2"/>
          <c:y val="7.3391662584153791E-2"/>
          <c:w val="0.89776613826355411"/>
          <c:h val="0.70199618446783685"/>
        </c:manualLayout>
      </c:layout>
      <c:lineChart>
        <c:grouping val="standard"/>
        <c:varyColors val="0"/>
        <c:ser>
          <c:idx val="2"/>
          <c:order val="0"/>
          <c:tx>
            <c:strRef>
              <c:f>'Figura 1 CO'!$J$7</c:f>
              <c:strCache>
                <c:ptCount val="1"/>
                <c:pt idx="0">
                  <c:v>Posizioni lavorative totali </c:v>
                </c:pt>
              </c:strCache>
            </c:strRef>
          </c:tx>
          <c:spPr>
            <a:ln w="41275">
              <a:solidFill>
                <a:srgbClr val="FF0000"/>
              </a:solidFill>
              <a:prstDash val="sysDash"/>
            </a:ln>
          </c:spPr>
          <c:marker>
            <c:symbol val="none"/>
          </c:marker>
          <c:cat>
            <c:multiLvlStrRef>
              <c:f>'Figura 1 CO'!$A$50:$B$70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CO'!$J$12:$J$32</c:f>
              <c:numCache>
                <c:formatCode>0</c:formatCode>
                <c:ptCount val="21"/>
                <c:pt idx="0">
                  <c:v>29.777000000000001</c:v>
                </c:pt>
                <c:pt idx="1">
                  <c:v>54.16</c:v>
                </c:pt>
                <c:pt idx="2">
                  <c:v>37.204999999999998</c:v>
                </c:pt>
                <c:pt idx="3">
                  <c:v>-28.731000000000002</c:v>
                </c:pt>
                <c:pt idx="4">
                  <c:v>5.2480000000000002</c:v>
                </c:pt>
                <c:pt idx="5">
                  <c:v>151.62200000000001</c:v>
                </c:pt>
                <c:pt idx="6">
                  <c:v>132.97499999999999</c:v>
                </c:pt>
                <c:pt idx="7">
                  <c:v>121.88800000000001</c:v>
                </c:pt>
                <c:pt idx="8">
                  <c:v>225.37299999999999</c:v>
                </c:pt>
                <c:pt idx="9">
                  <c:v>150.41499999999999</c:v>
                </c:pt>
                <c:pt idx="10">
                  <c:v>77.700999999999993</c:v>
                </c:pt>
                <c:pt idx="11">
                  <c:v>79.06</c:v>
                </c:pt>
                <c:pt idx="12">
                  <c:v>129.16399999999999</c:v>
                </c:pt>
                <c:pt idx="13">
                  <c:v>157.31800000000001</c:v>
                </c:pt>
                <c:pt idx="14">
                  <c:v>102.086</c:v>
                </c:pt>
                <c:pt idx="15">
                  <c:v>102.02800000000001</c:v>
                </c:pt>
                <c:pt idx="16">
                  <c:v>134.16399999999999</c:v>
                </c:pt>
                <c:pt idx="17">
                  <c:v>103.684</c:v>
                </c:pt>
                <c:pt idx="18">
                  <c:v>55.606999999999999</c:v>
                </c:pt>
                <c:pt idx="19">
                  <c:v>100.892</c:v>
                </c:pt>
                <c:pt idx="20">
                  <c:v>137.67599999999999</c:v>
                </c:pt>
              </c:numCache>
            </c:numRef>
          </c:val>
          <c:smooth val="0"/>
          <c:extLst xmlns:c16r2="http://schemas.microsoft.com/office/drawing/2015/06/chart">
            <c:ext xmlns:c16="http://schemas.microsoft.com/office/drawing/2014/chart" uri="{C3380CC4-5D6E-409C-BE32-E72D297353CC}">
              <c16:uniqueId val="{00000000-8E4F-4E3B-A9CC-E64771DA7DD7}"/>
            </c:ext>
          </c:extLst>
        </c:ser>
        <c:ser>
          <c:idx val="0"/>
          <c:order val="1"/>
          <c:tx>
            <c:strRef>
              <c:f>'Figura 1 CO'!$H$37</c:f>
              <c:strCache>
                <c:ptCount val="1"/>
                <c:pt idx="0">
                  <c:v>Posizioni a tempo indeterminato</c:v>
                </c:pt>
              </c:strCache>
            </c:strRef>
          </c:tx>
          <c:spPr>
            <a:ln w="41275">
              <a:solidFill>
                <a:schemeClr val="accent1">
                  <a:lumMod val="50000"/>
                </a:schemeClr>
              </a:solidFill>
            </a:ln>
          </c:spPr>
          <c:marker>
            <c:symbol val="none"/>
          </c:marker>
          <c:val>
            <c:numRef>
              <c:f>'Figura 1 CO'!$H$50:$H$70</c:f>
              <c:numCache>
                <c:formatCode>#,##0</c:formatCode>
                <c:ptCount val="21"/>
                <c:pt idx="0">
                  <c:v>20.643000000000001</c:v>
                </c:pt>
                <c:pt idx="1">
                  <c:v>9.1850000000000005</c:v>
                </c:pt>
                <c:pt idx="2">
                  <c:v>12.797000000000001</c:v>
                </c:pt>
                <c:pt idx="3">
                  <c:v>-37.728999999999999</c:v>
                </c:pt>
                <c:pt idx="4">
                  <c:v>20.52</c:v>
                </c:pt>
                <c:pt idx="5">
                  <c:v>196.137</c:v>
                </c:pt>
                <c:pt idx="6">
                  <c:v>107.604</c:v>
                </c:pt>
                <c:pt idx="7">
                  <c:v>156.79</c:v>
                </c:pt>
                <c:pt idx="8">
                  <c:v>277.85899999999998</c:v>
                </c:pt>
                <c:pt idx="9">
                  <c:v>34.682000000000002</c:v>
                </c:pt>
                <c:pt idx="10">
                  <c:v>25.45</c:v>
                </c:pt>
                <c:pt idx="11">
                  <c:v>19.388000000000002</c:v>
                </c:pt>
                <c:pt idx="12">
                  <c:v>66.501999999999995</c:v>
                </c:pt>
                <c:pt idx="13">
                  <c:v>11.913</c:v>
                </c:pt>
                <c:pt idx="14">
                  <c:v>-2.1080000000000001</c:v>
                </c:pt>
                <c:pt idx="15">
                  <c:v>-26.151</c:v>
                </c:pt>
                <c:pt idx="16">
                  <c:v>40.472000000000001</c:v>
                </c:pt>
                <c:pt idx="17">
                  <c:v>55.97</c:v>
                </c:pt>
                <c:pt idx="18">
                  <c:v>54.003</c:v>
                </c:pt>
                <c:pt idx="19">
                  <c:v>87.653999999999996</c:v>
                </c:pt>
                <c:pt idx="20">
                  <c:v>207.172</c:v>
                </c:pt>
              </c:numCache>
            </c:numRef>
          </c:val>
          <c:smooth val="0"/>
          <c:extLst xmlns:c16r2="http://schemas.microsoft.com/office/drawing/2015/06/chart">
            <c:ext xmlns:c16="http://schemas.microsoft.com/office/drawing/2014/chart" uri="{C3380CC4-5D6E-409C-BE32-E72D297353CC}">
              <c16:uniqueId val="{00000001-8E4F-4E3B-A9CC-E64771DA7DD7}"/>
            </c:ext>
          </c:extLst>
        </c:ser>
        <c:ser>
          <c:idx val="1"/>
          <c:order val="2"/>
          <c:tx>
            <c:strRef>
              <c:f>'Figura 1 CO'!$I$37</c:f>
              <c:strCache>
                <c:ptCount val="1"/>
                <c:pt idx="0">
                  <c:v>Posizioni a  tempo determinato</c:v>
                </c:pt>
              </c:strCache>
            </c:strRef>
          </c:tx>
          <c:spPr>
            <a:ln w="41275">
              <a:solidFill>
                <a:schemeClr val="bg1">
                  <a:lumMod val="50000"/>
                </a:schemeClr>
              </a:solidFill>
            </a:ln>
          </c:spPr>
          <c:marker>
            <c:symbol val="none"/>
          </c:marker>
          <c:val>
            <c:numRef>
              <c:f>'Figura 1 CO'!$I$50:$I$70</c:f>
              <c:numCache>
                <c:formatCode>#,##0</c:formatCode>
                <c:ptCount val="21"/>
                <c:pt idx="0">
                  <c:v>9.1340000000000003</c:v>
                </c:pt>
                <c:pt idx="1">
                  <c:v>44.975000000000001</c:v>
                </c:pt>
                <c:pt idx="2">
                  <c:v>24.408000000000001</c:v>
                </c:pt>
                <c:pt idx="3">
                  <c:v>8.9979999999999993</c:v>
                </c:pt>
                <c:pt idx="4">
                  <c:v>-15.272</c:v>
                </c:pt>
                <c:pt idx="5">
                  <c:v>-44.515000000000001</c:v>
                </c:pt>
                <c:pt idx="6">
                  <c:v>25.370999999999999</c:v>
                </c:pt>
                <c:pt idx="7">
                  <c:v>-34.902000000000001</c:v>
                </c:pt>
                <c:pt idx="8">
                  <c:v>-52.485999999999997</c:v>
                </c:pt>
                <c:pt idx="9">
                  <c:v>115.733</c:v>
                </c:pt>
                <c:pt idx="10">
                  <c:v>52.250999999999998</c:v>
                </c:pt>
                <c:pt idx="11">
                  <c:v>59.671999999999997</c:v>
                </c:pt>
                <c:pt idx="12">
                  <c:v>62.661999999999999</c:v>
                </c:pt>
                <c:pt idx="13">
                  <c:v>145.405</c:v>
                </c:pt>
                <c:pt idx="14">
                  <c:v>104.194</c:v>
                </c:pt>
                <c:pt idx="15">
                  <c:v>128.179</c:v>
                </c:pt>
                <c:pt idx="16">
                  <c:v>93.691999999999993</c:v>
                </c:pt>
                <c:pt idx="17">
                  <c:v>47.713999999999999</c:v>
                </c:pt>
                <c:pt idx="18">
                  <c:v>1.6040000000000001</c:v>
                </c:pt>
                <c:pt idx="19">
                  <c:v>13.238</c:v>
                </c:pt>
                <c:pt idx="20" formatCode="0">
                  <c:v>-69.495999999999995</c:v>
                </c:pt>
              </c:numCache>
            </c:numRef>
          </c:val>
          <c:smooth val="0"/>
          <c:extLst xmlns:c16r2="http://schemas.microsoft.com/office/drawing/2015/06/chart">
            <c:ext xmlns:c16="http://schemas.microsoft.com/office/drawing/2014/chart" uri="{C3380CC4-5D6E-409C-BE32-E72D297353CC}">
              <c16:uniqueId val="{00000002-8E4F-4E3B-A9CC-E64771DA7DD7}"/>
            </c:ext>
          </c:extLst>
        </c:ser>
        <c:dLbls>
          <c:showLegendKey val="0"/>
          <c:showVal val="0"/>
          <c:showCatName val="0"/>
          <c:showSerName val="0"/>
          <c:showPercent val="0"/>
          <c:showBubbleSize val="0"/>
        </c:dLbls>
        <c:smooth val="0"/>
        <c:axId val="436179152"/>
        <c:axId val="436189792"/>
      </c:lineChart>
      <c:catAx>
        <c:axId val="436179152"/>
        <c:scaling>
          <c:orientation val="minMax"/>
        </c:scaling>
        <c:delete val="0"/>
        <c:axPos val="b"/>
        <c:numFmt formatCode="General" sourceLinked="0"/>
        <c:majorTickMark val="out"/>
        <c:minorTickMark val="none"/>
        <c:tickLblPos val="low"/>
        <c:crossAx val="436189792"/>
        <c:crosses val="autoZero"/>
        <c:auto val="1"/>
        <c:lblAlgn val="ctr"/>
        <c:lblOffset val="90"/>
        <c:noMultiLvlLbl val="0"/>
      </c:catAx>
      <c:valAx>
        <c:axId val="436189792"/>
        <c:scaling>
          <c:orientation val="minMax"/>
          <c:max val="800"/>
          <c:min val="-100"/>
        </c:scaling>
        <c:delete val="0"/>
        <c:axPos val="l"/>
        <c:majorGridlines>
          <c:spPr>
            <a:ln>
              <a:noFill/>
            </a:ln>
          </c:spPr>
        </c:majorGridlines>
        <c:numFmt formatCode="0" sourceLinked="1"/>
        <c:majorTickMark val="out"/>
        <c:minorTickMark val="none"/>
        <c:tickLblPos val="nextTo"/>
        <c:crossAx val="436179152"/>
        <c:crosses val="autoZero"/>
        <c:crossBetween val="between"/>
      </c:valAx>
      <c:spPr>
        <a:ln>
          <a:noFill/>
        </a:ln>
      </c:spPr>
    </c:plotArea>
    <c:legend>
      <c:legendPos val="r"/>
      <c:layout>
        <c:manualLayout>
          <c:xMode val="edge"/>
          <c:yMode val="edge"/>
          <c:x val="0.52396700412448449"/>
          <c:y val="0.13602759882287441"/>
          <c:w val="0.46056182977127857"/>
          <c:h val="0.12384633738964447"/>
        </c:manualLayout>
      </c:layout>
      <c:overlay val="0"/>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n-US" sz="800" b="1" i="0" u="none" strike="noStrike" kern="1200" cap="all" baseline="0">
                <a:solidFill>
                  <a:sysClr val="windowText" lastClr="000000"/>
                </a:solidFill>
                <a:effectLst/>
                <a:latin typeface="Arial Narrow" panose="020B0606020202030204" pitchFamily="34" charset="0"/>
                <a:ea typeface="+mn-ea"/>
                <a:cs typeface="+mn-cs"/>
              </a:defRPr>
            </a:pPr>
            <a:r>
              <a:rPr lang="it-IT" sz="800" b="1" i="0" cap="all" baseline="0">
                <a:effectLst/>
              </a:rPr>
              <a:t>pOSIZIONI LAVORATIVE </a:t>
            </a:r>
            <a:r>
              <a:rPr lang="it-IT" sz="800" b="1" i="0" baseline="0">
                <a:effectLst/>
              </a:rPr>
              <a:t>(</a:t>
            </a:r>
            <a:r>
              <a:rPr lang="it-IT" sz="800" b="1" i="0" cap="none" baseline="0">
                <a:effectLst/>
              </a:rPr>
              <a:t>a</a:t>
            </a:r>
            <a:r>
              <a:rPr lang="it-IT" sz="800" b="1" i="0" baseline="0">
                <a:effectLst/>
              </a:rPr>
              <a:t>)</a:t>
            </a:r>
            <a:r>
              <a:rPr lang="it-IT" sz="800" b="1" i="0" cap="all" baseline="0">
                <a:effectLst/>
              </a:rPr>
              <a:t> per tipologia di contratto</a:t>
            </a:r>
            <a:r>
              <a:rPr lang="it-IT" sz="800" b="1" i="0" baseline="0">
                <a:effectLst/>
              </a:rPr>
              <a:t> </a:t>
            </a:r>
            <a:r>
              <a:rPr lang="it-IT" sz="800" b="0" i="0" baseline="0">
                <a:effectLst/>
              </a:rPr>
              <a:t>(</a:t>
            </a:r>
            <a:r>
              <a:rPr lang="it-IT" sz="800" b="0" i="0" cap="none" baseline="0">
                <a:effectLst/>
              </a:rPr>
              <a:t>variazioni tendenziali</a:t>
            </a:r>
            <a:r>
              <a:rPr lang="it-IT" sz="800" b="0" i="0" baseline="0">
                <a:effectLst/>
              </a:rPr>
              <a:t>)</a:t>
            </a:r>
            <a:endParaRPr lang="it-IT" sz="800" b="0">
              <a:effectLst/>
            </a:endParaRPr>
          </a:p>
        </c:rich>
      </c:tx>
      <c:layout>
        <c:manualLayout>
          <c:xMode val="edge"/>
          <c:yMode val="edge"/>
          <c:x val="0.14139107611548557"/>
          <c:y val="2.9747757078425899E-3"/>
        </c:manualLayout>
      </c:layout>
      <c:overlay val="1"/>
    </c:title>
    <c:autoTitleDeleted val="0"/>
    <c:plotArea>
      <c:layout>
        <c:manualLayout>
          <c:layoutTarget val="inner"/>
          <c:xMode val="edge"/>
          <c:yMode val="edge"/>
          <c:x val="8.8856888997824693E-2"/>
          <c:y val="0.11360263827588336"/>
          <c:w val="0.90756179619462929"/>
          <c:h val="0.76232576183112322"/>
        </c:manualLayout>
      </c:layout>
      <c:lineChart>
        <c:grouping val="standard"/>
        <c:varyColors val="0"/>
        <c:ser>
          <c:idx val="2"/>
          <c:order val="0"/>
          <c:tx>
            <c:strRef>
              <c:f>'Figura 1 CO'!$E$7</c:f>
              <c:strCache>
                <c:ptCount val="1"/>
                <c:pt idx="0">
                  <c:v>Posizioni lavorative totali </c:v>
                </c:pt>
              </c:strCache>
            </c:strRef>
          </c:tx>
          <c:spPr>
            <a:ln w="41275">
              <a:solidFill>
                <a:srgbClr val="FF0000"/>
              </a:solidFill>
              <a:prstDash val="sysDash"/>
            </a:ln>
          </c:spPr>
          <c:marker>
            <c:symbol val="none"/>
          </c:marker>
          <c:cat>
            <c:multiLvlStrRef>
              <c:f>'Figura 1 CO'!$A$50:$B$70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CO'!$E$12:$E$32</c:f>
              <c:numCache>
                <c:formatCode>#,##0</c:formatCode>
                <c:ptCount val="21"/>
                <c:pt idx="0">
                  <c:v>11.107999999999997</c:v>
                </c:pt>
                <c:pt idx="1">
                  <c:v>92.326999999999998</c:v>
                </c:pt>
                <c:pt idx="2">
                  <c:v>119.11199999999999</c:v>
                </c:pt>
                <c:pt idx="3">
                  <c:v>89.474999999999994</c:v>
                </c:pt>
                <c:pt idx="4">
                  <c:v>89.882999999999996</c:v>
                </c:pt>
                <c:pt idx="5">
                  <c:v>182.702</c:v>
                </c:pt>
                <c:pt idx="6">
                  <c:v>256.697</c:v>
                </c:pt>
                <c:pt idx="7">
                  <c:v>407.33499999999998</c:v>
                </c:pt>
                <c:pt idx="8">
                  <c:v>679.61599999999999</c:v>
                </c:pt>
                <c:pt idx="9">
                  <c:v>641.66999999999996</c:v>
                </c:pt>
                <c:pt idx="10">
                  <c:v>591.14599999999996</c:v>
                </c:pt>
                <c:pt idx="11">
                  <c:v>521.88499999999999</c:v>
                </c:pt>
                <c:pt idx="12">
                  <c:v>377.18200000000002</c:v>
                </c:pt>
                <c:pt idx="13">
                  <c:v>480.83500000000004</c:v>
                </c:pt>
                <c:pt idx="14">
                  <c:v>523.86199999999997</c:v>
                </c:pt>
                <c:pt idx="15">
                  <c:v>484.08499999999998</c:v>
                </c:pt>
                <c:pt idx="16">
                  <c:v>481.60700000000003</c:v>
                </c:pt>
                <c:pt idx="17">
                  <c:v>451.77699999999999</c:v>
                </c:pt>
                <c:pt idx="18">
                  <c:v>400.69200000000001</c:v>
                </c:pt>
                <c:pt idx="19">
                  <c:v>384.358</c:v>
                </c:pt>
                <c:pt idx="20">
                  <c:v>376.25900000000001</c:v>
                </c:pt>
              </c:numCache>
            </c:numRef>
          </c:val>
          <c:smooth val="0"/>
          <c:extLst xmlns:c16r2="http://schemas.microsoft.com/office/drawing/2015/06/chart">
            <c:ext xmlns:c16="http://schemas.microsoft.com/office/drawing/2014/chart" uri="{C3380CC4-5D6E-409C-BE32-E72D297353CC}">
              <c16:uniqueId val="{00000000-E40D-4108-ADDF-153D176AC914}"/>
            </c:ext>
          </c:extLst>
        </c:ser>
        <c:ser>
          <c:idx val="0"/>
          <c:order val="1"/>
          <c:tx>
            <c:strRef>
              <c:f>'Figura 1 CO'!$H$37</c:f>
              <c:strCache>
                <c:ptCount val="1"/>
                <c:pt idx="0">
                  <c:v>Posizioni a tempo indeterminato</c:v>
                </c:pt>
              </c:strCache>
            </c:strRef>
          </c:tx>
          <c:spPr>
            <a:ln w="41275">
              <a:solidFill>
                <a:schemeClr val="accent1">
                  <a:lumMod val="50000"/>
                </a:schemeClr>
              </a:solidFill>
            </a:ln>
          </c:spPr>
          <c:marker>
            <c:symbol val="none"/>
          </c:marker>
          <c:val>
            <c:numRef>
              <c:f>'Figura 1 CO'!$C$50:$C$70</c:f>
              <c:numCache>
                <c:formatCode>#,##0</c:formatCode>
                <c:ptCount val="21"/>
                <c:pt idx="0">
                  <c:v>-39.734000000000002</c:v>
                </c:pt>
                <c:pt idx="1">
                  <c:v>-27.847000000000001</c:v>
                </c:pt>
                <c:pt idx="2">
                  <c:v>12.289</c:v>
                </c:pt>
                <c:pt idx="3">
                  <c:v>3.085</c:v>
                </c:pt>
                <c:pt idx="4">
                  <c:v>19.812999999999999</c:v>
                </c:pt>
                <c:pt idx="5">
                  <c:v>186.10300000000001</c:v>
                </c:pt>
                <c:pt idx="6">
                  <c:v>259.17399999999998</c:v>
                </c:pt>
                <c:pt idx="7">
                  <c:v>466.303</c:v>
                </c:pt>
                <c:pt idx="8">
                  <c:v>764.85500000000002</c:v>
                </c:pt>
                <c:pt idx="9">
                  <c:v>594.702</c:v>
                </c:pt>
                <c:pt idx="10">
                  <c:v>520.86199999999997</c:v>
                </c:pt>
                <c:pt idx="11">
                  <c:v>369.51400000000001</c:v>
                </c:pt>
                <c:pt idx="12">
                  <c:v>125.155</c:v>
                </c:pt>
                <c:pt idx="13">
                  <c:v>127.03</c:v>
                </c:pt>
                <c:pt idx="14">
                  <c:v>106.35299999999999</c:v>
                </c:pt>
                <c:pt idx="15">
                  <c:v>52.134999999999998</c:v>
                </c:pt>
                <c:pt idx="16">
                  <c:v>23.971</c:v>
                </c:pt>
                <c:pt idx="17">
                  <c:v>73.781000000000006</c:v>
                </c:pt>
                <c:pt idx="18">
                  <c:v>123.574</c:v>
                </c:pt>
                <c:pt idx="19">
                  <c:v>229.85300000000001</c:v>
                </c:pt>
                <c:pt idx="20">
                  <c:v>400.65100000000001</c:v>
                </c:pt>
              </c:numCache>
            </c:numRef>
          </c:val>
          <c:smooth val="0"/>
          <c:extLst xmlns:c16r2="http://schemas.microsoft.com/office/drawing/2015/06/chart">
            <c:ext xmlns:c16="http://schemas.microsoft.com/office/drawing/2014/chart" uri="{C3380CC4-5D6E-409C-BE32-E72D297353CC}">
              <c16:uniqueId val="{00000001-E40D-4108-ADDF-153D176AC914}"/>
            </c:ext>
          </c:extLst>
        </c:ser>
        <c:ser>
          <c:idx val="1"/>
          <c:order val="2"/>
          <c:tx>
            <c:strRef>
              <c:f>'Figura 1 CO'!$I$37</c:f>
              <c:strCache>
                <c:ptCount val="1"/>
                <c:pt idx="0">
                  <c:v>Posizioni a  tempo determinato</c:v>
                </c:pt>
              </c:strCache>
            </c:strRef>
          </c:tx>
          <c:spPr>
            <a:ln w="41275">
              <a:solidFill>
                <a:schemeClr val="bg1">
                  <a:lumMod val="50000"/>
                </a:schemeClr>
              </a:solidFill>
            </a:ln>
          </c:spPr>
          <c:marker>
            <c:symbol val="none"/>
          </c:marker>
          <c:val>
            <c:numRef>
              <c:f>'Figura 1 CO'!$D$50:$D$70</c:f>
              <c:numCache>
                <c:formatCode>#,##0</c:formatCode>
                <c:ptCount val="21"/>
                <c:pt idx="0">
                  <c:v>50.841999999999999</c:v>
                </c:pt>
                <c:pt idx="1">
                  <c:v>120.17400000000001</c:v>
                </c:pt>
                <c:pt idx="2">
                  <c:v>106.82299999999999</c:v>
                </c:pt>
                <c:pt idx="3">
                  <c:v>86.39</c:v>
                </c:pt>
                <c:pt idx="4">
                  <c:v>70.069999999999993</c:v>
                </c:pt>
                <c:pt idx="5">
                  <c:v>-3.4009999999999998</c:v>
                </c:pt>
                <c:pt idx="6">
                  <c:v>-2.4769999999999999</c:v>
                </c:pt>
                <c:pt idx="7">
                  <c:v>-58.968000000000004</c:v>
                </c:pt>
                <c:pt idx="8">
                  <c:v>-85.239000000000004</c:v>
                </c:pt>
                <c:pt idx="9">
                  <c:v>46.968000000000004</c:v>
                </c:pt>
                <c:pt idx="10">
                  <c:v>70.284000000000006</c:v>
                </c:pt>
                <c:pt idx="11">
                  <c:v>152.37100000000001</c:v>
                </c:pt>
                <c:pt idx="12">
                  <c:v>252.02699999999999</c:v>
                </c:pt>
                <c:pt idx="13">
                  <c:v>353.80500000000001</c:v>
                </c:pt>
                <c:pt idx="14">
                  <c:v>417.50900000000001</c:v>
                </c:pt>
                <c:pt idx="15">
                  <c:v>431.95</c:v>
                </c:pt>
                <c:pt idx="16">
                  <c:v>457.63600000000002</c:v>
                </c:pt>
                <c:pt idx="17">
                  <c:v>377.99599999999998</c:v>
                </c:pt>
                <c:pt idx="18">
                  <c:v>277.11799999999999</c:v>
                </c:pt>
                <c:pt idx="19">
                  <c:v>154.505</c:v>
                </c:pt>
                <c:pt idx="20">
                  <c:v>-24.391999999999999</c:v>
                </c:pt>
              </c:numCache>
            </c:numRef>
          </c:val>
          <c:smooth val="0"/>
          <c:extLst xmlns:c16r2="http://schemas.microsoft.com/office/drawing/2015/06/chart">
            <c:ext xmlns:c16="http://schemas.microsoft.com/office/drawing/2014/chart" uri="{C3380CC4-5D6E-409C-BE32-E72D297353CC}">
              <c16:uniqueId val="{00000002-E40D-4108-ADDF-153D176AC914}"/>
            </c:ext>
          </c:extLst>
        </c:ser>
        <c:dLbls>
          <c:showLegendKey val="0"/>
          <c:showVal val="0"/>
          <c:showCatName val="0"/>
          <c:showSerName val="0"/>
          <c:showPercent val="0"/>
          <c:showBubbleSize val="0"/>
        </c:dLbls>
        <c:smooth val="0"/>
        <c:axId val="436188672"/>
        <c:axId val="436181952"/>
      </c:lineChart>
      <c:catAx>
        <c:axId val="436188672"/>
        <c:scaling>
          <c:orientation val="minMax"/>
        </c:scaling>
        <c:delete val="0"/>
        <c:axPos val="b"/>
        <c:numFmt formatCode="General" sourceLinked="0"/>
        <c:majorTickMark val="out"/>
        <c:minorTickMark val="none"/>
        <c:tickLblPos val="low"/>
        <c:crossAx val="436181952"/>
        <c:crosses val="autoZero"/>
        <c:auto val="1"/>
        <c:lblAlgn val="ctr"/>
        <c:lblOffset val="90"/>
        <c:noMultiLvlLbl val="0"/>
      </c:catAx>
      <c:valAx>
        <c:axId val="436181952"/>
        <c:scaling>
          <c:orientation val="minMax"/>
          <c:max val="800"/>
          <c:min val="-100"/>
        </c:scaling>
        <c:delete val="0"/>
        <c:axPos val="l"/>
        <c:majorGridlines>
          <c:spPr>
            <a:ln>
              <a:noFill/>
            </a:ln>
          </c:spPr>
        </c:majorGridlines>
        <c:numFmt formatCode="#,##0" sourceLinked="1"/>
        <c:majorTickMark val="out"/>
        <c:minorTickMark val="none"/>
        <c:tickLblPos val="nextTo"/>
        <c:crossAx val="436188672"/>
        <c:crosses val="autoZero"/>
        <c:crossBetween val="between"/>
      </c:valAx>
      <c:spPr>
        <a:ln>
          <a:noFill/>
        </a:ln>
      </c:spPr>
    </c:plotArea>
    <c:legend>
      <c:legendPos val="r"/>
      <c:layout>
        <c:manualLayout>
          <c:xMode val="edge"/>
          <c:yMode val="edge"/>
          <c:x val="0.56124409448818902"/>
          <c:y val="0.11483094545728158"/>
          <c:w val="0.43346507756569341"/>
          <c:h val="0.14477610619077336"/>
        </c:manualLayout>
      </c:layout>
      <c:overlay val="0"/>
    </c:legend>
    <c:plotVisOnly val="1"/>
    <c:dispBlanksAs val="gap"/>
    <c:showDLblsOverMax val="0"/>
  </c:chart>
  <c:spPr>
    <a:ln>
      <a:noFill/>
    </a:ln>
  </c:spPr>
  <c:txPr>
    <a:bodyPr/>
    <a:lstStyle/>
    <a:p>
      <a:pPr>
        <a:defRPr sz="700" baseline="0">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523961789040332E-2"/>
          <c:y val="9.3721671333323014E-2"/>
          <c:w val="0.89117925431809442"/>
          <c:h val="0.778740157480315"/>
        </c:manualLayout>
      </c:layout>
      <c:barChart>
        <c:barDir val="col"/>
        <c:grouping val="stacked"/>
        <c:varyColors val="0"/>
        <c:ser>
          <c:idx val="1"/>
          <c:order val="1"/>
          <c:tx>
            <c:strRef>
              <c:f>'Figura 1 CO'!$K$37</c:f>
              <c:strCache>
                <c:ptCount val="1"/>
                <c:pt idx="0">
                  <c:v>Trasformazioni a tempo ind.</c:v>
                </c:pt>
              </c:strCache>
            </c:strRef>
          </c:tx>
          <c:spPr>
            <a:solidFill>
              <a:srgbClr val="7AD34D"/>
            </a:solidFill>
          </c:spPr>
          <c:invertIfNegative val="0"/>
          <c:val>
            <c:numRef>
              <c:f>'Figura 1 CO'!$K$50:$K$70</c:f>
              <c:numCache>
                <c:formatCode>#,##0</c:formatCode>
                <c:ptCount val="21"/>
                <c:pt idx="0">
                  <c:v>88.441000000000003</c:v>
                </c:pt>
                <c:pt idx="1">
                  <c:v>67.67</c:v>
                </c:pt>
                <c:pt idx="2">
                  <c:v>70.213999999999999</c:v>
                </c:pt>
                <c:pt idx="3">
                  <c:v>63.996000000000002</c:v>
                </c:pt>
                <c:pt idx="4">
                  <c:v>72.960999999999999</c:v>
                </c:pt>
                <c:pt idx="5">
                  <c:v>109.95099999999999</c:v>
                </c:pt>
                <c:pt idx="6">
                  <c:v>92.540999999999997</c:v>
                </c:pt>
                <c:pt idx="7">
                  <c:v>119.941</c:v>
                </c:pt>
                <c:pt idx="8">
                  <c:v>162.57400000000001</c:v>
                </c:pt>
                <c:pt idx="9">
                  <c:v>59.271999999999998</c:v>
                </c:pt>
                <c:pt idx="10">
                  <c:v>68.293000000000006</c:v>
                </c:pt>
                <c:pt idx="11">
                  <c:v>84.194000000000003</c:v>
                </c:pt>
                <c:pt idx="12">
                  <c:v>122.794</c:v>
                </c:pt>
                <c:pt idx="13">
                  <c:v>69.156000000000006</c:v>
                </c:pt>
                <c:pt idx="14">
                  <c:v>72.95</c:v>
                </c:pt>
                <c:pt idx="15">
                  <c:v>75.278000000000006</c:v>
                </c:pt>
                <c:pt idx="16">
                  <c:v>109.797</c:v>
                </c:pt>
                <c:pt idx="17">
                  <c:v>107.199</c:v>
                </c:pt>
                <c:pt idx="18">
                  <c:v>117.229</c:v>
                </c:pt>
                <c:pt idx="19">
                  <c:v>143.65299999999999</c:v>
                </c:pt>
                <c:pt idx="20">
                  <c:v>222.745</c:v>
                </c:pt>
              </c:numCache>
            </c:numRef>
          </c:val>
          <c:extLst xmlns:c16r2="http://schemas.microsoft.com/office/drawing/2015/06/chart">
            <c:ext xmlns:c16="http://schemas.microsoft.com/office/drawing/2014/chart" uri="{C3380CC4-5D6E-409C-BE32-E72D297353CC}">
              <c16:uniqueId val="{00000000-F2EB-4CB9-88E3-77E9F9AD908C}"/>
            </c:ext>
          </c:extLst>
        </c:ser>
        <c:ser>
          <c:idx val="2"/>
          <c:order val="2"/>
          <c:tx>
            <c:strRef>
              <c:f>'Figura 1 CO'!$L$37</c:f>
              <c:strCache>
                <c:ptCount val="1"/>
                <c:pt idx="0">
                  <c:v>Attivazioni-cessazioni a tempo ind.</c:v>
                </c:pt>
              </c:strCache>
            </c:strRef>
          </c:tx>
          <c:spPr>
            <a:solidFill>
              <a:schemeClr val="bg1">
                <a:lumMod val="50000"/>
              </a:schemeClr>
            </a:solidFill>
          </c:spPr>
          <c:invertIfNegative val="0"/>
          <c:val>
            <c:numRef>
              <c:f>'Figura 1 CO'!$L$50:$L$70</c:f>
              <c:numCache>
                <c:formatCode>#,##0</c:formatCode>
                <c:ptCount val="21"/>
                <c:pt idx="0">
                  <c:v>-67.798000000000002</c:v>
                </c:pt>
                <c:pt idx="1">
                  <c:v>-58.485000000000014</c:v>
                </c:pt>
                <c:pt idx="2">
                  <c:v>-57.417000000000087</c:v>
                </c:pt>
                <c:pt idx="3">
                  <c:v>-101.72499999999991</c:v>
                </c:pt>
                <c:pt idx="4">
                  <c:v>-52.441000000000031</c:v>
                </c:pt>
                <c:pt idx="5">
                  <c:v>86.186000000000035</c:v>
                </c:pt>
                <c:pt idx="6">
                  <c:v>15.063000000000102</c:v>
                </c:pt>
                <c:pt idx="7">
                  <c:v>36.848999999999933</c:v>
                </c:pt>
                <c:pt idx="8">
                  <c:v>115.28499999999997</c:v>
                </c:pt>
                <c:pt idx="9">
                  <c:v>-24.589999999999918</c:v>
                </c:pt>
                <c:pt idx="10">
                  <c:v>-42.843000000000075</c:v>
                </c:pt>
                <c:pt idx="11">
                  <c:v>-64.805999999999926</c:v>
                </c:pt>
                <c:pt idx="12">
                  <c:v>-56.29200000000003</c:v>
                </c:pt>
                <c:pt idx="13">
                  <c:v>-57.242999999999938</c:v>
                </c:pt>
                <c:pt idx="14">
                  <c:v>-75.05800000000005</c:v>
                </c:pt>
                <c:pt idx="15">
                  <c:v>-101.42899999999997</c:v>
                </c:pt>
                <c:pt idx="16">
                  <c:v>-69.325000000000045</c:v>
                </c:pt>
                <c:pt idx="17">
                  <c:v>-51.229000000000042</c:v>
                </c:pt>
                <c:pt idx="18">
                  <c:v>-63.225999999999999</c:v>
                </c:pt>
                <c:pt idx="19">
                  <c:v>-55.99899999999991</c:v>
                </c:pt>
                <c:pt idx="20">
                  <c:v>-15.572999999999979</c:v>
                </c:pt>
              </c:numCache>
            </c:numRef>
          </c:val>
          <c:extLst xmlns:c16r2="http://schemas.microsoft.com/office/drawing/2015/06/chart">
            <c:ext xmlns:c16="http://schemas.microsoft.com/office/drawing/2014/chart" uri="{C3380CC4-5D6E-409C-BE32-E72D297353CC}">
              <c16:uniqueId val="{00000001-F2EB-4CB9-88E3-77E9F9AD908C}"/>
            </c:ext>
          </c:extLst>
        </c:ser>
        <c:dLbls>
          <c:showLegendKey val="0"/>
          <c:showVal val="0"/>
          <c:showCatName val="0"/>
          <c:showSerName val="0"/>
          <c:showPercent val="0"/>
          <c:showBubbleSize val="0"/>
        </c:dLbls>
        <c:gapWidth val="150"/>
        <c:overlap val="100"/>
        <c:axId val="298906064"/>
        <c:axId val="298904384"/>
      </c:barChart>
      <c:lineChart>
        <c:grouping val="standard"/>
        <c:varyColors val="0"/>
        <c:ser>
          <c:idx val="0"/>
          <c:order val="0"/>
          <c:tx>
            <c:strRef>
              <c:f>'Figura 1 CO'!$H$37</c:f>
              <c:strCache>
                <c:ptCount val="1"/>
                <c:pt idx="0">
                  <c:v>Posizioni a tempo indeterminato</c:v>
                </c:pt>
              </c:strCache>
            </c:strRef>
          </c:tx>
          <c:spPr>
            <a:ln w="41275">
              <a:solidFill>
                <a:schemeClr val="accent1">
                  <a:lumMod val="50000"/>
                </a:schemeClr>
              </a:solidFill>
            </a:ln>
          </c:spPr>
          <c:marker>
            <c:symbol val="none"/>
          </c:marker>
          <c:cat>
            <c:multiLvlStrRef>
              <c:f>'Figura 1 CO'!$A$50:$B$70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CO'!$H$50:$H$70</c:f>
              <c:numCache>
                <c:formatCode>#,##0</c:formatCode>
                <c:ptCount val="21"/>
                <c:pt idx="0">
                  <c:v>20.643000000000001</c:v>
                </c:pt>
                <c:pt idx="1">
                  <c:v>9.1850000000000005</c:v>
                </c:pt>
                <c:pt idx="2">
                  <c:v>12.797000000000001</c:v>
                </c:pt>
                <c:pt idx="3">
                  <c:v>-37.728999999999999</c:v>
                </c:pt>
                <c:pt idx="4">
                  <c:v>20.52</c:v>
                </c:pt>
                <c:pt idx="5">
                  <c:v>196.137</c:v>
                </c:pt>
                <c:pt idx="6">
                  <c:v>107.604</c:v>
                </c:pt>
                <c:pt idx="7">
                  <c:v>156.79</c:v>
                </c:pt>
                <c:pt idx="8">
                  <c:v>277.85899999999998</c:v>
                </c:pt>
                <c:pt idx="9">
                  <c:v>34.682000000000002</c:v>
                </c:pt>
                <c:pt idx="10">
                  <c:v>25.45</c:v>
                </c:pt>
                <c:pt idx="11">
                  <c:v>19.388000000000002</c:v>
                </c:pt>
                <c:pt idx="12">
                  <c:v>66.501999999999995</c:v>
                </c:pt>
                <c:pt idx="13">
                  <c:v>11.913</c:v>
                </c:pt>
                <c:pt idx="14">
                  <c:v>-2.1080000000000001</c:v>
                </c:pt>
                <c:pt idx="15">
                  <c:v>-26.151</c:v>
                </c:pt>
                <c:pt idx="16">
                  <c:v>40.472000000000001</c:v>
                </c:pt>
                <c:pt idx="17">
                  <c:v>55.97</c:v>
                </c:pt>
                <c:pt idx="18">
                  <c:v>54.003</c:v>
                </c:pt>
                <c:pt idx="19">
                  <c:v>87.653999999999996</c:v>
                </c:pt>
                <c:pt idx="20">
                  <c:v>207.172</c:v>
                </c:pt>
              </c:numCache>
            </c:numRef>
          </c:val>
          <c:smooth val="0"/>
          <c:extLst xmlns:c16r2="http://schemas.microsoft.com/office/drawing/2015/06/chart">
            <c:ext xmlns:c16="http://schemas.microsoft.com/office/drawing/2014/chart" uri="{C3380CC4-5D6E-409C-BE32-E72D297353CC}">
              <c16:uniqueId val="{00000002-F2EB-4CB9-88E3-77E9F9AD908C}"/>
            </c:ext>
          </c:extLst>
        </c:ser>
        <c:dLbls>
          <c:showLegendKey val="0"/>
          <c:showVal val="0"/>
          <c:showCatName val="0"/>
          <c:showSerName val="0"/>
          <c:showPercent val="0"/>
          <c:showBubbleSize val="0"/>
        </c:dLbls>
        <c:marker val="1"/>
        <c:smooth val="0"/>
        <c:axId val="298906064"/>
        <c:axId val="298904384"/>
      </c:lineChart>
      <c:catAx>
        <c:axId val="298906064"/>
        <c:scaling>
          <c:orientation val="minMax"/>
        </c:scaling>
        <c:delete val="0"/>
        <c:axPos val="b"/>
        <c:majorTickMark val="out"/>
        <c:minorTickMark val="none"/>
        <c:tickLblPos val="low"/>
        <c:txPr>
          <a:bodyPr/>
          <a:lstStyle/>
          <a:p>
            <a:pPr>
              <a:defRPr sz="700">
                <a:latin typeface="Arial Narrow" pitchFamily="34" charset="0"/>
              </a:defRPr>
            </a:pPr>
            <a:endParaRPr lang="it-IT"/>
          </a:p>
        </c:txPr>
        <c:crossAx val="298904384"/>
        <c:crosses val="autoZero"/>
        <c:auto val="1"/>
        <c:lblAlgn val="ctr"/>
        <c:lblOffset val="100"/>
        <c:noMultiLvlLbl val="0"/>
      </c:catAx>
      <c:valAx>
        <c:axId val="298904384"/>
        <c:scaling>
          <c:orientation val="minMax"/>
          <c:max val="800"/>
          <c:min val="-400"/>
        </c:scaling>
        <c:delete val="0"/>
        <c:axPos val="l"/>
        <c:numFmt formatCode="#,##0" sourceLinked="1"/>
        <c:majorTickMark val="out"/>
        <c:minorTickMark val="none"/>
        <c:tickLblPos val="nextTo"/>
        <c:txPr>
          <a:bodyPr/>
          <a:lstStyle/>
          <a:p>
            <a:pPr>
              <a:defRPr sz="700" baseline="0">
                <a:latin typeface="Arial Narrow" panose="020B0606020202030204" pitchFamily="34" charset="0"/>
              </a:defRPr>
            </a:pPr>
            <a:endParaRPr lang="it-IT"/>
          </a:p>
        </c:txPr>
        <c:crossAx val="298906064"/>
        <c:crosses val="autoZero"/>
        <c:crossBetween val="between"/>
        <c:majorUnit val="100"/>
      </c:valAx>
      <c:spPr>
        <a:noFill/>
      </c:spPr>
    </c:plotArea>
    <c:legend>
      <c:legendPos val="b"/>
      <c:layout>
        <c:manualLayout>
          <c:xMode val="edge"/>
          <c:yMode val="edge"/>
          <c:x val="0.54975137414083819"/>
          <c:y val="0.15699070278297728"/>
          <c:w val="0.44744950310710851"/>
          <c:h val="0.1163177174631322"/>
        </c:manualLayout>
      </c:layout>
      <c:overlay val="0"/>
      <c:txPr>
        <a:bodyPr/>
        <a:lstStyle/>
        <a:p>
          <a:pPr>
            <a:defRPr sz="700">
              <a:latin typeface="Arial Narrow" pitchFamily="34" charset="0"/>
            </a:defRPr>
          </a:pPr>
          <a:endParaRPr lang="it-IT"/>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658184390451961E-2"/>
          <c:y val="0.10218894543879462"/>
          <c:w val="0.92799085128235015"/>
          <c:h val="0.76714222730999493"/>
        </c:manualLayout>
      </c:layout>
      <c:barChart>
        <c:barDir val="col"/>
        <c:grouping val="stacked"/>
        <c:varyColors val="0"/>
        <c:ser>
          <c:idx val="1"/>
          <c:order val="1"/>
          <c:tx>
            <c:strRef>
              <c:f>'Figura 1 CO'!$K$37</c:f>
              <c:strCache>
                <c:ptCount val="1"/>
                <c:pt idx="0">
                  <c:v>Trasformazioni a tempo ind.</c:v>
                </c:pt>
              </c:strCache>
            </c:strRef>
          </c:tx>
          <c:spPr>
            <a:solidFill>
              <a:srgbClr val="7AD34D"/>
            </a:solidFill>
          </c:spPr>
          <c:invertIfNegative val="0"/>
          <c:val>
            <c:numRef>
              <c:f>'Figura 1 CO'!$F$50:$F$70</c:f>
              <c:numCache>
                <c:formatCode>0</c:formatCode>
                <c:ptCount val="21"/>
                <c:pt idx="0">
                  <c:v>316.404</c:v>
                </c:pt>
                <c:pt idx="1">
                  <c:v>304.02699999999999</c:v>
                </c:pt>
                <c:pt idx="2">
                  <c:v>301.85199999999998</c:v>
                </c:pt>
                <c:pt idx="3">
                  <c:v>290.37900000000002</c:v>
                </c:pt>
                <c:pt idx="4">
                  <c:v>275.44900000000001</c:v>
                </c:pt>
                <c:pt idx="5">
                  <c:v>313.67899999999997</c:v>
                </c:pt>
                <c:pt idx="6">
                  <c:v>334.05900000000003</c:v>
                </c:pt>
                <c:pt idx="7">
                  <c:v>391.50400000000002</c:v>
                </c:pt>
                <c:pt idx="8">
                  <c:v>486.92099999999999</c:v>
                </c:pt>
                <c:pt idx="9">
                  <c:v>437.96699999999998</c:v>
                </c:pt>
                <c:pt idx="10">
                  <c:v>414.17599999999999</c:v>
                </c:pt>
                <c:pt idx="11">
                  <c:v>376.786</c:v>
                </c:pt>
                <c:pt idx="12">
                  <c:v>334.57</c:v>
                </c:pt>
                <c:pt idx="13">
                  <c:v>345.98700000000002</c:v>
                </c:pt>
                <c:pt idx="14">
                  <c:v>351.33300000000003</c:v>
                </c:pt>
                <c:pt idx="15">
                  <c:v>340.87900000000002</c:v>
                </c:pt>
                <c:pt idx="16">
                  <c:v>325.78199999999998</c:v>
                </c:pt>
                <c:pt idx="17">
                  <c:v>364.79899999999998</c:v>
                </c:pt>
                <c:pt idx="18">
                  <c:v>408.55599999999998</c:v>
                </c:pt>
                <c:pt idx="19">
                  <c:v>476.37299999999999</c:v>
                </c:pt>
                <c:pt idx="20">
                  <c:v>591.95299999999997</c:v>
                </c:pt>
              </c:numCache>
            </c:numRef>
          </c:val>
          <c:extLst xmlns:c16r2="http://schemas.microsoft.com/office/drawing/2015/06/chart">
            <c:ext xmlns:c16="http://schemas.microsoft.com/office/drawing/2014/chart" uri="{C3380CC4-5D6E-409C-BE32-E72D297353CC}">
              <c16:uniqueId val="{00000000-A627-4F00-8F20-837551811584}"/>
            </c:ext>
          </c:extLst>
        </c:ser>
        <c:ser>
          <c:idx val="2"/>
          <c:order val="2"/>
          <c:tx>
            <c:strRef>
              <c:f>'Figura 1 CO'!$L$37</c:f>
              <c:strCache>
                <c:ptCount val="1"/>
                <c:pt idx="0">
                  <c:v>Attivazioni-cessazioni a tempo ind.</c:v>
                </c:pt>
              </c:strCache>
            </c:strRef>
          </c:tx>
          <c:spPr>
            <a:solidFill>
              <a:schemeClr val="bg1">
                <a:lumMod val="50000"/>
              </a:schemeClr>
            </a:solidFill>
          </c:spPr>
          <c:invertIfNegative val="0"/>
          <c:val>
            <c:numRef>
              <c:f>'Figura 1 CO'!$G$50:$G$70</c:f>
              <c:numCache>
                <c:formatCode>#,##0</c:formatCode>
                <c:ptCount val="21"/>
                <c:pt idx="0">
                  <c:v>-356.13799999999998</c:v>
                </c:pt>
                <c:pt idx="1">
                  <c:v>-331.87399999999997</c:v>
                </c:pt>
                <c:pt idx="2">
                  <c:v>-289.56299999999999</c:v>
                </c:pt>
                <c:pt idx="3">
                  <c:v>-287.29400000000004</c:v>
                </c:pt>
                <c:pt idx="4">
                  <c:v>-255.63600000000002</c:v>
                </c:pt>
                <c:pt idx="5">
                  <c:v>-127.57599999999996</c:v>
                </c:pt>
                <c:pt idx="6">
                  <c:v>-74.885000000000048</c:v>
                </c:pt>
                <c:pt idx="7">
                  <c:v>74.798999999999978</c:v>
                </c:pt>
                <c:pt idx="8">
                  <c:v>277.93400000000003</c:v>
                </c:pt>
                <c:pt idx="9">
                  <c:v>156.73500000000001</c:v>
                </c:pt>
                <c:pt idx="10">
                  <c:v>106.68599999999998</c:v>
                </c:pt>
                <c:pt idx="11">
                  <c:v>-7.2719999999999914</c:v>
                </c:pt>
                <c:pt idx="12">
                  <c:v>-209.41499999999999</c:v>
                </c:pt>
                <c:pt idx="13">
                  <c:v>-218.95700000000002</c:v>
                </c:pt>
                <c:pt idx="14">
                  <c:v>-244.98000000000002</c:v>
                </c:pt>
                <c:pt idx="15">
                  <c:v>-288.74400000000003</c:v>
                </c:pt>
                <c:pt idx="16">
                  <c:v>-301.81099999999998</c:v>
                </c:pt>
                <c:pt idx="17">
                  <c:v>-291.01799999999997</c:v>
                </c:pt>
                <c:pt idx="18">
                  <c:v>-284.98199999999997</c:v>
                </c:pt>
                <c:pt idx="19">
                  <c:v>-246.51999999999998</c:v>
                </c:pt>
                <c:pt idx="20">
                  <c:v>-191.30199999999996</c:v>
                </c:pt>
              </c:numCache>
            </c:numRef>
          </c:val>
          <c:extLst xmlns:c16r2="http://schemas.microsoft.com/office/drawing/2015/06/chart">
            <c:ext xmlns:c16="http://schemas.microsoft.com/office/drawing/2014/chart" uri="{C3380CC4-5D6E-409C-BE32-E72D297353CC}">
              <c16:uniqueId val="{00000001-A627-4F00-8F20-837551811584}"/>
            </c:ext>
          </c:extLst>
        </c:ser>
        <c:dLbls>
          <c:showLegendKey val="0"/>
          <c:showVal val="0"/>
          <c:showCatName val="0"/>
          <c:showSerName val="0"/>
          <c:showPercent val="0"/>
          <c:showBubbleSize val="0"/>
        </c:dLbls>
        <c:gapWidth val="117"/>
        <c:overlap val="100"/>
        <c:axId val="298907744"/>
        <c:axId val="298913904"/>
      </c:barChart>
      <c:lineChart>
        <c:grouping val="standard"/>
        <c:varyColors val="0"/>
        <c:ser>
          <c:idx val="0"/>
          <c:order val="0"/>
          <c:tx>
            <c:strRef>
              <c:f>'Figura 1 CO'!$H$37</c:f>
              <c:strCache>
                <c:ptCount val="1"/>
                <c:pt idx="0">
                  <c:v>Posizioni a tempo indeterminato</c:v>
                </c:pt>
              </c:strCache>
            </c:strRef>
          </c:tx>
          <c:spPr>
            <a:ln w="41275">
              <a:solidFill>
                <a:schemeClr val="accent1">
                  <a:lumMod val="50000"/>
                </a:schemeClr>
              </a:solidFill>
            </a:ln>
          </c:spPr>
          <c:marker>
            <c:symbol val="none"/>
          </c:marker>
          <c:cat>
            <c:multiLvlStrRef>
              <c:f>'Figura 1 CO'!$A$50:$B$70</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1 CO'!$C$50:$C$70</c:f>
              <c:numCache>
                <c:formatCode>#,##0</c:formatCode>
                <c:ptCount val="21"/>
                <c:pt idx="0">
                  <c:v>-39.734000000000002</c:v>
                </c:pt>
                <c:pt idx="1">
                  <c:v>-27.847000000000001</c:v>
                </c:pt>
                <c:pt idx="2">
                  <c:v>12.289</c:v>
                </c:pt>
                <c:pt idx="3">
                  <c:v>3.085</c:v>
                </c:pt>
                <c:pt idx="4">
                  <c:v>19.812999999999999</c:v>
                </c:pt>
                <c:pt idx="5">
                  <c:v>186.10300000000001</c:v>
                </c:pt>
                <c:pt idx="6">
                  <c:v>259.17399999999998</c:v>
                </c:pt>
                <c:pt idx="7">
                  <c:v>466.303</c:v>
                </c:pt>
                <c:pt idx="8">
                  <c:v>764.85500000000002</c:v>
                </c:pt>
                <c:pt idx="9">
                  <c:v>594.702</c:v>
                </c:pt>
                <c:pt idx="10">
                  <c:v>520.86199999999997</c:v>
                </c:pt>
                <c:pt idx="11">
                  <c:v>369.51400000000001</c:v>
                </c:pt>
                <c:pt idx="12">
                  <c:v>125.155</c:v>
                </c:pt>
                <c:pt idx="13">
                  <c:v>127.03</c:v>
                </c:pt>
                <c:pt idx="14">
                  <c:v>106.35299999999999</c:v>
                </c:pt>
                <c:pt idx="15">
                  <c:v>52.134999999999998</c:v>
                </c:pt>
                <c:pt idx="16">
                  <c:v>23.971</c:v>
                </c:pt>
                <c:pt idx="17">
                  <c:v>73.781000000000006</c:v>
                </c:pt>
                <c:pt idx="18">
                  <c:v>123.574</c:v>
                </c:pt>
                <c:pt idx="19">
                  <c:v>229.85300000000001</c:v>
                </c:pt>
                <c:pt idx="20">
                  <c:v>400.65100000000001</c:v>
                </c:pt>
              </c:numCache>
            </c:numRef>
          </c:val>
          <c:smooth val="0"/>
          <c:extLst xmlns:c16r2="http://schemas.microsoft.com/office/drawing/2015/06/chart">
            <c:ext xmlns:c16="http://schemas.microsoft.com/office/drawing/2014/chart" uri="{C3380CC4-5D6E-409C-BE32-E72D297353CC}">
              <c16:uniqueId val="{00000002-A627-4F00-8F20-837551811584}"/>
            </c:ext>
          </c:extLst>
        </c:ser>
        <c:dLbls>
          <c:showLegendKey val="0"/>
          <c:showVal val="0"/>
          <c:showCatName val="0"/>
          <c:showSerName val="0"/>
          <c:showPercent val="0"/>
          <c:showBubbleSize val="0"/>
        </c:dLbls>
        <c:marker val="1"/>
        <c:smooth val="0"/>
        <c:axId val="298907744"/>
        <c:axId val="298913904"/>
      </c:lineChart>
      <c:catAx>
        <c:axId val="298907744"/>
        <c:scaling>
          <c:orientation val="minMax"/>
        </c:scaling>
        <c:delete val="0"/>
        <c:axPos val="b"/>
        <c:majorTickMark val="out"/>
        <c:minorTickMark val="none"/>
        <c:tickLblPos val="low"/>
        <c:txPr>
          <a:bodyPr/>
          <a:lstStyle/>
          <a:p>
            <a:pPr>
              <a:defRPr sz="700">
                <a:latin typeface="Arial Narrow" pitchFamily="34" charset="0"/>
              </a:defRPr>
            </a:pPr>
            <a:endParaRPr lang="it-IT"/>
          </a:p>
        </c:txPr>
        <c:crossAx val="298913904"/>
        <c:crosses val="autoZero"/>
        <c:auto val="1"/>
        <c:lblAlgn val="ctr"/>
        <c:lblOffset val="100"/>
        <c:noMultiLvlLbl val="0"/>
      </c:catAx>
      <c:valAx>
        <c:axId val="298913904"/>
        <c:scaling>
          <c:orientation val="minMax"/>
          <c:max val="800"/>
          <c:min val="-400"/>
        </c:scaling>
        <c:delete val="0"/>
        <c:axPos val="l"/>
        <c:numFmt formatCode="0" sourceLinked="1"/>
        <c:majorTickMark val="out"/>
        <c:minorTickMark val="none"/>
        <c:tickLblPos val="nextTo"/>
        <c:txPr>
          <a:bodyPr/>
          <a:lstStyle/>
          <a:p>
            <a:pPr>
              <a:defRPr sz="700" baseline="0">
                <a:latin typeface="Arial Narrow" panose="020B0606020202030204" pitchFamily="34" charset="0"/>
              </a:defRPr>
            </a:pPr>
            <a:endParaRPr lang="it-IT"/>
          </a:p>
        </c:txPr>
        <c:crossAx val="298907744"/>
        <c:crosses val="autoZero"/>
        <c:crossBetween val="between"/>
        <c:majorUnit val="100"/>
      </c:valAx>
    </c:plotArea>
    <c:legend>
      <c:legendPos val="b"/>
      <c:layout>
        <c:manualLayout>
          <c:xMode val="edge"/>
          <c:yMode val="edge"/>
          <c:x val="0.55284272400865619"/>
          <c:y val="0.14083466113887042"/>
          <c:w val="0.43034752238367657"/>
          <c:h val="0.11100740028713377"/>
        </c:manualLayout>
      </c:layout>
      <c:overlay val="0"/>
      <c:txPr>
        <a:bodyPr/>
        <a:lstStyle/>
        <a:p>
          <a:pPr>
            <a:defRPr sz="700">
              <a:latin typeface="Arial Narrow" pitchFamily="34" charset="0"/>
            </a:defRPr>
          </a:pPr>
          <a:endParaRPr lang="it-IT"/>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10997000889245E-2"/>
          <c:y val="7.6444522461367181E-2"/>
          <c:w val="0.81438105598651922"/>
          <c:h val="0.68199545217800028"/>
        </c:manualLayout>
      </c:layout>
      <c:barChart>
        <c:barDir val="col"/>
        <c:grouping val="stacked"/>
        <c:varyColors val="0"/>
        <c:ser>
          <c:idx val="1"/>
          <c:order val="1"/>
          <c:tx>
            <c:strRef>
              <c:f>'Figura 2 RFL'!$L$3</c:f>
              <c:strCache>
                <c:ptCount val="1"/>
                <c:pt idx="0">
                  <c:v>Dipendente</c:v>
                </c:pt>
              </c:strCache>
            </c:strRef>
          </c:tx>
          <c:spPr>
            <a:solidFill>
              <a:srgbClr val="C00000"/>
            </a:solidFill>
          </c:spPr>
          <c:invertIfNegative val="0"/>
          <c:cat>
            <c:multiLvlStrRef>
              <c:f>'Figura 2 RFL'!$I$24:$J$44</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2 RFL'!$L$24:$L$44</c:f>
              <c:numCache>
                <c:formatCode>#,##0</c:formatCode>
                <c:ptCount val="21"/>
                <c:pt idx="0">
                  <c:v>15.772000000000844</c:v>
                </c:pt>
                <c:pt idx="1">
                  <c:v>86.400999999998021</c:v>
                </c:pt>
                <c:pt idx="2">
                  <c:v>61.171000000002095</c:v>
                </c:pt>
                <c:pt idx="3">
                  <c:v>-3.4480000000003201</c:v>
                </c:pt>
                <c:pt idx="4">
                  <c:v>6.9979999999995925</c:v>
                </c:pt>
                <c:pt idx="5">
                  <c:v>97.700000000000728</c:v>
                </c:pt>
                <c:pt idx="6">
                  <c:v>141.74499999999898</c:v>
                </c:pt>
                <c:pt idx="7">
                  <c:v>69.229999999999563</c:v>
                </c:pt>
                <c:pt idx="8">
                  <c:v>25.822000000000116</c:v>
                </c:pt>
                <c:pt idx="9">
                  <c:v>108.95899999999892</c:v>
                </c:pt>
                <c:pt idx="10">
                  <c:v>72.558000000000902</c:v>
                </c:pt>
                <c:pt idx="11">
                  <c:v>66.447000000000116</c:v>
                </c:pt>
                <c:pt idx="12">
                  <c:v>102.6919999999991</c:v>
                </c:pt>
                <c:pt idx="13">
                  <c:v>116.36900000000242</c:v>
                </c:pt>
                <c:pt idx="14">
                  <c:v>105.07300000000032</c:v>
                </c:pt>
                <c:pt idx="15">
                  <c:v>51.651999999998225</c:v>
                </c:pt>
                <c:pt idx="16">
                  <c:v>49.328000000001339</c:v>
                </c:pt>
                <c:pt idx="17">
                  <c:v>95.674999999999272</c:v>
                </c:pt>
                <c:pt idx="18">
                  <c:v>-32.971000000001368</c:v>
                </c:pt>
                <c:pt idx="19">
                  <c:v>-15.333999999998923</c:v>
                </c:pt>
                <c:pt idx="20">
                  <c:v>17.536000000000058</c:v>
                </c:pt>
              </c:numCache>
            </c:numRef>
          </c:val>
        </c:ser>
        <c:ser>
          <c:idx val="2"/>
          <c:order val="2"/>
          <c:tx>
            <c:strRef>
              <c:f>'Figura 2 RFL'!$M$3</c:f>
              <c:strCache>
                <c:ptCount val="1"/>
                <c:pt idx="0">
                  <c:v>Indipendente</c:v>
                </c:pt>
              </c:strCache>
            </c:strRef>
          </c:tx>
          <c:spPr>
            <a:solidFill>
              <a:schemeClr val="bg1">
                <a:lumMod val="75000"/>
              </a:schemeClr>
            </a:solidFill>
          </c:spPr>
          <c:invertIfNegative val="0"/>
          <c:cat>
            <c:multiLvlStrRef>
              <c:f>'Figura 2 RFL'!$I$24:$J$44</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2 RFL'!$M$24:$M$44</c:f>
              <c:numCache>
                <c:formatCode>#,##0</c:formatCode>
                <c:ptCount val="21"/>
                <c:pt idx="0">
                  <c:v>-12.951000000000022</c:v>
                </c:pt>
                <c:pt idx="1">
                  <c:v>10.949999999999818</c:v>
                </c:pt>
                <c:pt idx="2">
                  <c:v>-11.882999999999811</c:v>
                </c:pt>
                <c:pt idx="3">
                  <c:v>17.826999999999316</c:v>
                </c:pt>
                <c:pt idx="4">
                  <c:v>-12.050999999999476</c:v>
                </c:pt>
                <c:pt idx="5">
                  <c:v>-24.471000000000458</c:v>
                </c:pt>
                <c:pt idx="6">
                  <c:v>6.0399999999999636</c:v>
                </c:pt>
                <c:pt idx="7">
                  <c:v>-42.323999999999614</c:v>
                </c:pt>
                <c:pt idx="8">
                  <c:v>1.818000000000211</c:v>
                </c:pt>
                <c:pt idx="9">
                  <c:v>48.571999999999207</c:v>
                </c:pt>
                <c:pt idx="10">
                  <c:v>-57.212999999999738</c:v>
                </c:pt>
                <c:pt idx="11">
                  <c:v>0.92399999999997817</c:v>
                </c:pt>
                <c:pt idx="12">
                  <c:v>-19.134000000000015</c:v>
                </c:pt>
                <c:pt idx="13">
                  <c:v>-77.503999999999905</c:v>
                </c:pt>
                <c:pt idx="14">
                  <c:v>-24.719000000000051</c:v>
                </c:pt>
                <c:pt idx="15">
                  <c:v>-5.2240000000001601</c:v>
                </c:pt>
                <c:pt idx="16">
                  <c:v>-22.819999999999709</c:v>
                </c:pt>
                <c:pt idx="17">
                  <c:v>67.247999999999593</c:v>
                </c:pt>
                <c:pt idx="18">
                  <c:v>-17.683999999999287</c:v>
                </c:pt>
                <c:pt idx="19">
                  <c:v>-17.907000000000153</c:v>
                </c:pt>
                <c:pt idx="20">
                  <c:v>7.1750000000001819</c:v>
                </c:pt>
              </c:numCache>
            </c:numRef>
          </c:val>
        </c:ser>
        <c:dLbls>
          <c:showLegendKey val="0"/>
          <c:showVal val="0"/>
          <c:showCatName val="0"/>
          <c:showSerName val="0"/>
          <c:showPercent val="0"/>
          <c:showBubbleSize val="0"/>
        </c:dLbls>
        <c:gapWidth val="150"/>
        <c:overlap val="100"/>
        <c:axId val="298915024"/>
        <c:axId val="298910544"/>
      </c:barChart>
      <c:lineChart>
        <c:grouping val="standard"/>
        <c:varyColors val="0"/>
        <c:ser>
          <c:idx val="0"/>
          <c:order val="0"/>
          <c:tx>
            <c:strRef>
              <c:f>'Figura 2 RFL'!$K$3</c:f>
              <c:strCache>
                <c:ptCount val="1"/>
                <c:pt idx="0">
                  <c:v>Occupati</c:v>
                </c:pt>
              </c:strCache>
            </c:strRef>
          </c:tx>
          <c:spPr>
            <a:ln w="41275">
              <a:solidFill>
                <a:srgbClr val="00B050"/>
              </a:solidFill>
              <a:prstDash val="sysDash"/>
            </a:ln>
          </c:spPr>
          <c:marker>
            <c:symbol val="none"/>
          </c:marker>
          <c:cat>
            <c:multiLvlStrRef>
              <c:f>'Figura 2 RFL'!$I$24:$J$44</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2 RFL'!$K$24:$K$44</c:f>
              <c:numCache>
                <c:formatCode>#,##0</c:formatCode>
                <c:ptCount val="21"/>
                <c:pt idx="0">
                  <c:v>22177.695</c:v>
                </c:pt>
                <c:pt idx="1">
                  <c:v>22277.587</c:v>
                </c:pt>
                <c:pt idx="2">
                  <c:v>22326.933000000001</c:v>
                </c:pt>
                <c:pt idx="3">
                  <c:v>22339.782999999999</c:v>
                </c:pt>
                <c:pt idx="4">
                  <c:v>22334.061000000002</c:v>
                </c:pt>
                <c:pt idx="5">
                  <c:v>22407.977999999999</c:v>
                </c:pt>
                <c:pt idx="6">
                  <c:v>22557.687999999998</c:v>
                </c:pt>
                <c:pt idx="7">
                  <c:v>22583.311000000002</c:v>
                </c:pt>
                <c:pt idx="8">
                  <c:v>22609.414000000001</c:v>
                </c:pt>
                <c:pt idx="9">
                  <c:v>22767.623</c:v>
                </c:pt>
                <c:pt idx="10">
                  <c:v>22785.776000000002</c:v>
                </c:pt>
                <c:pt idx="11">
                  <c:v>22849.521000000001</c:v>
                </c:pt>
                <c:pt idx="12">
                  <c:v>22933.3</c:v>
                </c:pt>
                <c:pt idx="13">
                  <c:v>22975.137999999999</c:v>
                </c:pt>
                <c:pt idx="14">
                  <c:v>23054.477999999999</c:v>
                </c:pt>
                <c:pt idx="15">
                  <c:v>23100.187000000002</c:v>
                </c:pt>
                <c:pt idx="16">
                  <c:v>23120.587</c:v>
                </c:pt>
                <c:pt idx="17">
                  <c:v>23298.041000000001</c:v>
                </c:pt>
                <c:pt idx="18">
                  <c:v>23247.841</c:v>
                </c:pt>
                <c:pt idx="19">
                  <c:v>23211.928</c:v>
                </c:pt>
                <c:pt idx="20">
                  <c:v>23212.928</c:v>
                </c:pt>
              </c:numCache>
            </c:numRef>
          </c:val>
          <c:smooth val="0"/>
        </c:ser>
        <c:dLbls>
          <c:showLegendKey val="0"/>
          <c:showVal val="0"/>
          <c:showCatName val="0"/>
          <c:showSerName val="0"/>
          <c:showPercent val="0"/>
          <c:showBubbleSize val="0"/>
        </c:dLbls>
        <c:marker val="1"/>
        <c:smooth val="0"/>
        <c:axId val="298911664"/>
        <c:axId val="298906624"/>
      </c:lineChart>
      <c:catAx>
        <c:axId val="298911664"/>
        <c:scaling>
          <c:orientation val="minMax"/>
        </c:scaling>
        <c:delete val="0"/>
        <c:axPos val="b"/>
        <c:numFmt formatCode="General" sourceLinked="0"/>
        <c:majorTickMark val="out"/>
        <c:minorTickMark val="none"/>
        <c:tickLblPos val="low"/>
        <c:txPr>
          <a:bodyPr/>
          <a:lstStyle/>
          <a:p>
            <a:pPr>
              <a:defRPr sz="700"/>
            </a:pPr>
            <a:endParaRPr lang="it-IT"/>
          </a:p>
        </c:txPr>
        <c:crossAx val="298906624"/>
        <c:crosses val="autoZero"/>
        <c:auto val="1"/>
        <c:lblAlgn val="ctr"/>
        <c:lblOffset val="100"/>
        <c:noMultiLvlLbl val="0"/>
      </c:catAx>
      <c:valAx>
        <c:axId val="298906624"/>
        <c:scaling>
          <c:orientation val="minMax"/>
        </c:scaling>
        <c:delete val="0"/>
        <c:axPos val="l"/>
        <c:majorGridlines>
          <c:spPr>
            <a:ln>
              <a:noFill/>
            </a:ln>
          </c:spPr>
        </c:majorGridlines>
        <c:numFmt formatCode="#,##0" sourceLinked="1"/>
        <c:majorTickMark val="out"/>
        <c:minorTickMark val="none"/>
        <c:tickLblPos val="nextTo"/>
        <c:txPr>
          <a:bodyPr/>
          <a:lstStyle/>
          <a:p>
            <a:pPr>
              <a:defRPr sz="700"/>
            </a:pPr>
            <a:endParaRPr lang="it-IT"/>
          </a:p>
        </c:txPr>
        <c:crossAx val="298911664"/>
        <c:crosses val="autoZero"/>
        <c:crossBetween val="between"/>
      </c:valAx>
      <c:valAx>
        <c:axId val="298910544"/>
        <c:scaling>
          <c:orientation val="minMax"/>
        </c:scaling>
        <c:delete val="0"/>
        <c:axPos val="r"/>
        <c:numFmt formatCode="#,##0" sourceLinked="1"/>
        <c:majorTickMark val="out"/>
        <c:minorTickMark val="none"/>
        <c:tickLblPos val="nextTo"/>
        <c:txPr>
          <a:bodyPr/>
          <a:lstStyle/>
          <a:p>
            <a:pPr>
              <a:defRPr sz="700"/>
            </a:pPr>
            <a:endParaRPr lang="it-IT"/>
          </a:p>
        </c:txPr>
        <c:crossAx val="298915024"/>
        <c:crosses val="max"/>
        <c:crossBetween val="between"/>
      </c:valAx>
      <c:catAx>
        <c:axId val="298915024"/>
        <c:scaling>
          <c:orientation val="minMax"/>
        </c:scaling>
        <c:delete val="1"/>
        <c:axPos val="b"/>
        <c:numFmt formatCode="General" sourceLinked="1"/>
        <c:majorTickMark val="out"/>
        <c:minorTickMark val="none"/>
        <c:tickLblPos val="nextTo"/>
        <c:crossAx val="298910544"/>
        <c:crosses val="autoZero"/>
        <c:auto val="1"/>
        <c:lblAlgn val="ctr"/>
        <c:lblOffset val="100"/>
        <c:noMultiLvlLbl val="0"/>
      </c:catAx>
    </c:plotArea>
    <c:legend>
      <c:legendPos val="r"/>
      <c:layout>
        <c:manualLayout>
          <c:xMode val="edge"/>
          <c:yMode val="edge"/>
          <c:x val="6.5539727944253265E-2"/>
          <c:y val="5.8571625915181651E-3"/>
          <c:w val="0.81543450438324294"/>
          <c:h val="8.1741677027213702E-2"/>
        </c:manualLayout>
      </c:layout>
      <c:overlay val="0"/>
      <c:txPr>
        <a:bodyPr/>
        <a:lstStyle/>
        <a:p>
          <a:pPr>
            <a:defRPr sz="700"/>
          </a:pPr>
          <a:endParaRPr lang="it-IT"/>
        </a:p>
      </c:txPr>
    </c:legend>
    <c:plotVisOnly val="1"/>
    <c:dispBlanksAs val="gap"/>
    <c:showDLblsOverMax val="0"/>
  </c:chart>
  <c:spPr>
    <a:ln>
      <a:noFill/>
    </a:ln>
  </c:spPr>
  <c:txPr>
    <a:bodyPr/>
    <a:lstStyle/>
    <a:p>
      <a:pPr>
        <a:defRPr sz="900">
          <a:latin typeface="Arial Narrow" panose="020B0606020202030204" pitchFamily="34" charset="0"/>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43177514203139E-2"/>
          <c:y val="5.1400554097404488E-2"/>
          <c:w val="0.84739077710222932"/>
          <c:h val="0.89719889180519097"/>
        </c:manualLayout>
      </c:layout>
      <c:barChart>
        <c:barDir val="col"/>
        <c:grouping val="stacked"/>
        <c:varyColors val="0"/>
        <c:ser>
          <c:idx val="0"/>
          <c:order val="0"/>
          <c:tx>
            <c:strRef>
              <c:f>'Figura 3 OROS'!$F$2</c:f>
              <c:strCache>
                <c:ptCount val="1"/>
                <c:pt idx="0">
                  <c:v>Industria (scala sinistra)</c:v>
                </c:pt>
              </c:strCache>
            </c:strRef>
          </c:tx>
          <c:spPr>
            <a:solidFill>
              <a:schemeClr val="tx2">
                <a:lumMod val="75000"/>
              </a:schemeClr>
            </a:solidFill>
            <a:ln>
              <a:noFill/>
            </a:ln>
          </c:spPr>
          <c:invertIfNegative val="0"/>
          <c:cat>
            <c:multiLvlStrRef>
              <c:f>'Figura 3 OROS'!$A$19:$B$39</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3 OROS'!$F$19:$F$39</c:f>
              <c:numCache>
                <c:formatCode>0</c:formatCode>
                <c:ptCount val="21"/>
                <c:pt idx="0">
                  <c:v>-26.332000000000001</c:v>
                </c:pt>
                <c:pt idx="1">
                  <c:v>-27.677</c:v>
                </c:pt>
                <c:pt idx="2">
                  <c:v>-14.215</c:v>
                </c:pt>
                <c:pt idx="3">
                  <c:v>-34.784999999999997</c:v>
                </c:pt>
                <c:pt idx="4">
                  <c:v>-35.664000000000001</c:v>
                </c:pt>
                <c:pt idx="5">
                  <c:v>21.896000000000001</c:v>
                </c:pt>
                <c:pt idx="6">
                  <c:v>7.468</c:v>
                </c:pt>
                <c:pt idx="7">
                  <c:v>35.159999999999997</c:v>
                </c:pt>
                <c:pt idx="8">
                  <c:v>16.882999999999999</c:v>
                </c:pt>
                <c:pt idx="9">
                  <c:v>-0.88900000000000001</c:v>
                </c:pt>
                <c:pt idx="10">
                  <c:v>-2.5030000000000001</c:v>
                </c:pt>
                <c:pt idx="11">
                  <c:v>6.2789999999999999</c:v>
                </c:pt>
                <c:pt idx="12">
                  <c:v>5.1970000000000001</c:v>
                </c:pt>
                <c:pt idx="13">
                  <c:v>12.61</c:v>
                </c:pt>
                <c:pt idx="14">
                  <c:v>14.506</c:v>
                </c:pt>
                <c:pt idx="15">
                  <c:v>11.103</c:v>
                </c:pt>
                <c:pt idx="16">
                  <c:v>24.303000000000001</c:v>
                </c:pt>
                <c:pt idx="17">
                  <c:v>11.547000000000001</c:v>
                </c:pt>
                <c:pt idx="18">
                  <c:v>17.248000000000001</c:v>
                </c:pt>
                <c:pt idx="19">
                  <c:v>10.02</c:v>
                </c:pt>
                <c:pt idx="20">
                  <c:v>27.050999999999998</c:v>
                </c:pt>
              </c:numCache>
            </c:numRef>
          </c:val>
          <c:extLst xmlns:c16r2="http://schemas.microsoft.com/office/drawing/2015/06/chart">
            <c:ext xmlns:c16="http://schemas.microsoft.com/office/drawing/2014/chart" uri="{C3380CC4-5D6E-409C-BE32-E72D297353CC}">
              <c16:uniqueId val="{00000000-64A0-49DF-B1DC-679FB49B40AE}"/>
            </c:ext>
          </c:extLst>
        </c:ser>
        <c:ser>
          <c:idx val="2"/>
          <c:order val="1"/>
          <c:tx>
            <c:strRef>
              <c:f>'Figura 3 OROS'!$G$2</c:f>
              <c:strCache>
                <c:ptCount val="1"/>
                <c:pt idx="0">
                  <c:v>Servizi  (scala sinistra)</c:v>
                </c:pt>
              </c:strCache>
            </c:strRef>
          </c:tx>
          <c:spPr>
            <a:solidFill>
              <a:srgbClr val="00B050"/>
            </a:solidFill>
            <a:ln>
              <a:noFill/>
            </a:ln>
          </c:spPr>
          <c:invertIfNegative val="0"/>
          <c:cat>
            <c:multiLvlStrRef>
              <c:f>'Figura 3 OROS'!$A$19:$B$39</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3 OROS'!$G$19:$G$39</c:f>
              <c:numCache>
                <c:formatCode>0</c:formatCode>
                <c:ptCount val="21"/>
                <c:pt idx="0">
                  <c:v>0.41099999999999998</c:v>
                </c:pt>
                <c:pt idx="1">
                  <c:v>24.433</c:v>
                </c:pt>
                <c:pt idx="2">
                  <c:v>17.004999999999999</c:v>
                </c:pt>
                <c:pt idx="3">
                  <c:v>-0.70099999999999996</c:v>
                </c:pt>
                <c:pt idx="4">
                  <c:v>32.380000000000003</c:v>
                </c:pt>
                <c:pt idx="5">
                  <c:v>108.771</c:v>
                </c:pt>
                <c:pt idx="6">
                  <c:v>68.128</c:v>
                </c:pt>
                <c:pt idx="7">
                  <c:v>113.92100000000001</c:v>
                </c:pt>
                <c:pt idx="8">
                  <c:v>104.26600000000001</c:v>
                </c:pt>
                <c:pt idx="9">
                  <c:v>42.688000000000002</c:v>
                </c:pt>
                <c:pt idx="10">
                  <c:v>80.375</c:v>
                </c:pt>
                <c:pt idx="11">
                  <c:v>89.069000000000003</c:v>
                </c:pt>
                <c:pt idx="12">
                  <c:v>62.204999999999998</c:v>
                </c:pt>
                <c:pt idx="13">
                  <c:v>148.62799999999999</c:v>
                </c:pt>
                <c:pt idx="14">
                  <c:v>77.123999999999995</c:v>
                </c:pt>
                <c:pt idx="15">
                  <c:v>52.045000000000002</c:v>
                </c:pt>
                <c:pt idx="16">
                  <c:v>56.686999999999998</c:v>
                </c:pt>
                <c:pt idx="17">
                  <c:v>39.387</c:v>
                </c:pt>
                <c:pt idx="18">
                  <c:v>31.481999999999999</c:v>
                </c:pt>
                <c:pt idx="19">
                  <c:v>26.786999999999999</c:v>
                </c:pt>
                <c:pt idx="20">
                  <c:v>47.152999999999999</c:v>
                </c:pt>
              </c:numCache>
            </c:numRef>
          </c:val>
          <c:extLst xmlns:c16r2="http://schemas.microsoft.com/office/drawing/2015/06/chart">
            <c:ext xmlns:c16="http://schemas.microsoft.com/office/drawing/2014/chart" uri="{C3380CC4-5D6E-409C-BE32-E72D297353CC}">
              <c16:uniqueId val="{00000001-64A0-49DF-B1DC-679FB49B40AE}"/>
            </c:ext>
          </c:extLst>
        </c:ser>
        <c:dLbls>
          <c:showLegendKey val="0"/>
          <c:showVal val="0"/>
          <c:showCatName val="0"/>
          <c:showSerName val="0"/>
          <c:showPercent val="0"/>
          <c:showBubbleSize val="0"/>
        </c:dLbls>
        <c:gapWidth val="150"/>
        <c:overlap val="100"/>
        <c:axId val="298651744"/>
        <c:axId val="298655664"/>
      </c:barChart>
      <c:lineChart>
        <c:grouping val="standard"/>
        <c:varyColors val="0"/>
        <c:ser>
          <c:idx val="1"/>
          <c:order val="2"/>
          <c:tx>
            <c:strRef>
              <c:f>'Figura 3 OROS'!$E$2</c:f>
              <c:strCache>
                <c:ptCount val="1"/>
                <c:pt idx="0">
                  <c:v>Industria e servizi (scala destra)</c:v>
                </c:pt>
              </c:strCache>
            </c:strRef>
          </c:tx>
          <c:spPr>
            <a:ln>
              <a:solidFill>
                <a:srgbClr val="FF0000"/>
              </a:solidFill>
              <a:prstDash val="dash"/>
            </a:ln>
          </c:spPr>
          <c:marker>
            <c:symbol val="none"/>
          </c:marker>
          <c:cat>
            <c:multiLvlStrRef>
              <c:f>'Figura 3 OROS'!$A$19:$B$39</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3 OROS'!$E$19:$E$39</c:f>
              <c:numCache>
                <c:formatCode>0</c:formatCode>
                <c:ptCount val="21"/>
                <c:pt idx="0">
                  <c:v>11494.112999999999</c:v>
                </c:pt>
                <c:pt idx="1">
                  <c:v>11490.869000000001</c:v>
                </c:pt>
                <c:pt idx="2">
                  <c:v>11493.659</c:v>
                </c:pt>
                <c:pt idx="3">
                  <c:v>11458.173000000001</c:v>
                </c:pt>
                <c:pt idx="4">
                  <c:v>11454.888999999999</c:v>
                </c:pt>
                <c:pt idx="5">
                  <c:v>11585.556</c:v>
                </c:pt>
                <c:pt idx="6">
                  <c:v>11661.152</c:v>
                </c:pt>
                <c:pt idx="7">
                  <c:v>11810.233</c:v>
                </c:pt>
                <c:pt idx="8">
                  <c:v>11931.382</c:v>
                </c:pt>
                <c:pt idx="9">
                  <c:v>11973.181</c:v>
                </c:pt>
                <c:pt idx="10">
                  <c:v>12051.053</c:v>
                </c:pt>
                <c:pt idx="11">
                  <c:v>12146.401</c:v>
                </c:pt>
                <c:pt idx="12">
                  <c:v>12213.803</c:v>
                </c:pt>
                <c:pt idx="13">
                  <c:v>12375.040999999999</c:v>
                </c:pt>
                <c:pt idx="14">
                  <c:v>12466.671</c:v>
                </c:pt>
                <c:pt idx="15">
                  <c:v>12529.819</c:v>
                </c:pt>
                <c:pt idx="16">
                  <c:v>12610.808999999999</c:v>
                </c:pt>
                <c:pt idx="17">
                  <c:v>12661.743</c:v>
                </c:pt>
                <c:pt idx="18">
                  <c:v>12710.473</c:v>
                </c:pt>
                <c:pt idx="19">
                  <c:v>12747.28</c:v>
                </c:pt>
                <c:pt idx="20">
                  <c:v>12821.484</c:v>
                </c:pt>
              </c:numCache>
            </c:numRef>
          </c:val>
          <c:smooth val="0"/>
          <c:extLst xmlns:c16r2="http://schemas.microsoft.com/office/drawing/2015/06/chart">
            <c:ext xmlns:c16="http://schemas.microsoft.com/office/drawing/2014/chart" uri="{C3380CC4-5D6E-409C-BE32-E72D297353CC}">
              <c16:uniqueId val="{00000002-64A0-49DF-B1DC-679FB49B40AE}"/>
            </c:ext>
          </c:extLst>
        </c:ser>
        <c:dLbls>
          <c:showLegendKey val="0"/>
          <c:showVal val="0"/>
          <c:showCatName val="0"/>
          <c:showSerName val="0"/>
          <c:showPercent val="0"/>
          <c:showBubbleSize val="0"/>
        </c:dLbls>
        <c:marker val="1"/>
        <c:smooth val="0"/>
        <c:axId val="298652864"/>
        <c:axId val="298653984"/>
      </c:lineChart>
      <c:catAx>
        <c:axId val="298652864"/>
        <c:scaling>
          <c:orientation val="minMax"/>
        </c:scaling>
        <c:delete val="0"/>
        <c:axPos val="b"/>
        <c:numFmt formatCode="General" sourceLinked="0"/>
        <c:majorTickMark val="out"/>
        <c:minorTickMark val="none"/>
        <c:tickLblPos val="low"/>
        <c:txPr>
          <a:bodyPr/>
          <a:lstStyle/>
          <a:p>
            <a:pPr>
              <a:defRPr sz="700">
                <a:latin typeface="Arial Narrow" panose="020B0606020202030204" pitchFamily="34" charset="0"/>
              </a:defRPr>
            </a:pPr>
            <a:endParaRPr lang="it-IT"/>
          </a:p>
        </c:txPr>
        <c:crossAx val="298653984"/>
        <c:crosses val="autoZero"/>
        <c:auto val="1"/>
        <c:lblAlgn val="ctr"/>
        <c:lblOffset val="100"/>
        <c:noMultiLvlLbl val="0"/>
      </c:catAx>
      <c:valAx>
        <c:axId val="298653984"/>
        <c:scaling>
          <c:orientation val="minMax"/>
          <c:min val="11200"/>
        </c:scaling>
        <c:delete val="0"/>
        <c:axPos val="l"/>
        <c:majorGridlines>
          <c:spPr>
            <a:ln>
              <a:noFill/>
            </a:ln>
          </c:spPr>
        </c:majorGridlines>
        <c:numFmt formatCode="#,##0" sourceLinked="0"/>
        <c:majorTickMark val="out"/>
        <c:minorTickMark val="none"/>
        <c:tickLblPos val="nextTo"/>
        <c:txPr>
          <a:bodyPr/>
          <a:lstStyle/>
          <a:p>
            <a:pPr>
              <a:defRPr sz="700" baseline="0">
                <a:latin typeface="Arial Narrow" panose="020B0606020202030204" pitchFamily="34" charset="0"/>
              </a:defRPr>
            </a:pPr>
            <a:endParaRPr lang="it-IT"/>
          </a:p>
        </c:txPr>
        <c:crossAx val="298652864"/>
        <c:crosses val="autoZero"/>
        <c:crossBetween val="between"/>
      </c:valAx>
      <c:valAx>
        <c:axId val="298655664"/>
        <c:scaling>
          <c:orientation val="minMax"/>
          <c:max val="240"/>
          <c:min val="-160"/>
        </c:scaling>
        <c:delete val="0"/>
        <c:axPos val="r"/>
        <c:numFmt formatCode="0" sourceLinked="1"/>
        <c:majorTickMark val="out"/>
        <c:minorTickMark val="none"/>
        <c:tickLblPos val="nextTo"/>
        <c:txPr>
          <a:bodyPr/>
          <a:lstStyle/>
          <a:p>
            <a:pPr>
              <a:defRPr sz="700">
                <a:latin typeface="Arial Narrow" panose="020B0606020202030204" pitchFamily="34" charset="0"/>
              </a:defRPr>
            </a:pPr>
            <a:endParaRPr lang="it-IT"/>
          </a:p>
        </c:txPr>
        <c:crossAx val="298651744"/>
        <c:crosses val="max"/>
        <c:crossBetween val="between"/>
      </c:valAx>
      <c:catAx>
        <c:axId val="298651744"/>
        <c:scaling>
          <c:orientation val="minMax"/>
        </c:scaling>
        <c:delete val="1"/>
        <c:axPos val="b"/>
        <c:numFmt formatCode="General" sourceLinked="1"/>
        <c:majorTickMark val="out"/>
        <c:minorTickMark val="none"/>
        <c:tickLblPos val="nextTo"/>
        <c:crossAx val="298655664"/>
        <c:crosses val="autoZero"/>
        <c:auto val="1"/>
        <c:lblAlgn val="ctr"/>
        <c:lblOffset val="100"/>
        <c:noMultiLvlLbl val="0"/>
      </c:catAx>
    </c:plotArea>
    <c:legend>
      <c:legendPos val="r"/>
      <c:layout>
        <c:manualLayout>
          <c:xMode val="edge"/>
          <c:yMode val="edge"/>
          <c:x val="0.10089291025500539"/>
          <c:y val="1.8049299224546855E-2"/>
          <c:w val="0.45799543996394387"/>
          <c:h val="0.21288198350206225"/>
        </c:manualLayout>
      </c:layout>
      <c:overlay val="0"/>
      <c:txPr>
        <a:bodyPr/>
        <a:lstStyle/>
        <a:p>
          <a:pPr>
            <a:defRPr sz="700">
              <a:latin typeface="Arial Narrow" panose="020B0606020202030204" pitchFamily="34" charset="0"/>
            </a:defRPr>
          </a:pPr>
          <a:endParaRPr lang="it-IT"/>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5172907461802"/>
          <c:y val="3.936191060562326E-2"/>
          <c:w val="0.86030859323423636"/>
          <c:h val="0.77140893154779011"/>
        </c:manualLayout>
      </c:layout>
      <c:barChart>
        <c:barDir val="col"/>
        <c:grouping val="clustered"/>
        <c:varyColors val="0"/>
        <c:ser>
          <c:idx val="0"/>
          <c:order val="0"/>
          <c:tx>
            <c:strRef>
              <c:f>'Figura 5 e 6 INPS '!$C$6</c:f>
              <c:strCache>
                <c:ptCount val="1"/>
                <c:pt idx="0">
                  <c:v>Lavoratori in somministrazione</c:v>
                </c:pt>
              </c:strCache>
            </c:strRef>
          </c:tx>
          <c:spPr>
            <a:solidFill>
              <a:srgbClr val="0070C0"/>
            </a:solidFill>
            <a:ln>
              <a:solidFill>
                <a:schemeClr val="accent1">
                  <a:lumMod val="75000"/>
                </a:schemeClr>
              </a:solidFill>
            </a:ln>
          </c:spPr>
          <c:invertIfNegative val="0"/>
          <c:cat>
            <c:multiLvlStrRef>
              <c:f>'Figura 5 e 6 INPS '!$A$15:$B$35</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5 e 6 INPS '!$C$15:$C$35</c:f>
              <c:numCache>
                <c:formatCode>_-* #,##0_-;\-* #,##0_-;_-* "-"??_-;_-@_-</c:formatCode>
                <c:ptCount val="21"/>
                <c:pt idx="0">
                  <c:v>213871.33333333334</c:v>
                </c:pt>
                <c:pt idx="1">
                  <c:v>238200.33333333334</c:v>
                </c:pt>
                <c:pt idx="2">
                  <c:v>248044.66666666666</c:v>
                </c:pt>
                <c:pt idx="3">
                  <c:v>246407</c:v>
                </c:pt>
                <c:pt idx="4">
                  <c:v>250176.33333333334</c:v>
                </c:pt>
                <c:pt idx="5">
                  <c:v>279612.33333333331</c:v>
                </c:pt>
                <c:pt idx="6">
                  <c:v>290964</c:v>
                </c:pt>
                <c:pt idx="7">
                  <c:v>279646</c:v>
                </c:pt>
                <c:pt idx="8">
                  <c:v>255719</c:v>
                </c:pt>
                <c:pt idx="9">
                  <c:v>291592.66666666669</c:v>
                </c:pt>
                <c:pt idx="10">
                  <c:v>314858.66666666669</c:v>
                </c:pt>
                <c:pt idx="11">
                  <c:v>315656.33333333331</c:v>
                </c:pt>
                <c:pt idx="12">
                  <c:v>313233.66666666669</c:v>
                </c:pt>
                <c:pt idx="13">
                  <c:v>362834.66666666669</c:v>
                </c:pt>
                <c:pt idx="14">
                  <c:v>389846.66666666669</c:v>
                </c:pt>
                <c:pt idx="15">
                  <c:v>401649.66666666669</c:v>
                </c:pt>
                <c:pt idx="16">
                  <c:v>386925.66666666669</c:v>
                </c:pt>
                <c:pt idx="17">
                  <c:v>413238.33333333331</c:v>
                </c:pt>
                <c:pt idx="18">
                  <c:v>418304</c:v>
                </c:pt>
                <c:pt idx="19">
                  <c:v>404745</c:v>
                </c:pt>
                <c:pt idx="20">
                  <c:v>367220</c:v>
                </c:pt>
              </c:numCache>
            </c:numRef>
          </c:val>
          <c:extLst xmlns:c16r2="http://schemas.microsoft.com/office/drawing/2015/06/chart">
            <c:ext xmlns:c16="http://schemas.microsoft.com/office/drawing/2014/chart" uri="{C3380CC4-5D6E-409C-BE32-E72D297353CC}">
              <c16:uniqueId val="{00000000-3916-447D-9261-F59BFABB20F4}"/>
            </c:ext>
          </c:extLst>
        </c:ser>
        <c:ser>
          <c:idx val="1"/>
          <c:order val="1"/>
          <c:tx>
            <c:strRef>
              <c:f>'Figura 5 e 6 INPS '!$D$6</c:f>
              <c:strCache>
                <c:ptCount val="1"/>
                <c:pt idx="0">
                  <c:v>Lavoratori a chiamata (intermittente)</c:v>
                </c:pt>
              </c:strCache>
            </c:strRef>
          </c:tx>
          <c:spPr>
            <a:solidFill>
              <a:srgbClr val="FF0000"/>
            </a:solidFill>
            <a:ln>
              <a:solidFill>
                <a:srgbClr val="C00000"/>
              </a:solidFill>
            </a:ln>
          </c:spPr>
          <c:invertIfNegative val="0"/>
          <c:cat>
            <c:multiLvlStrRef>
              <c:f>'Figura 5 e 6 INPS '!$A$15:$B$35</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2014</c:v>
                  </c:pt>
                  <c:pt idx="4">
                    <c:v>2015</c:v>
                  </c:pt>
                  <c:pt idx="8">
                    <c:v>2016</c:v>
                  </c:pt>
                  <c:pt idx="12">
                    <c:v>2017</c:v>
                  </c:pt>
                  <c:pt idx="16">
                    <c:v>2018</c:v>
                  </c:pt>
                  <c:pt idx="20">
                    <c:v>2019</c:v>
                  </c:pt>
                </c:lvl>
              </c:multiLvlStrCache>
            </c:multiLvlStrRef>
          </c:cat>
          <c:val>
            <c:numRef>
              <c:f>'Figura 5 e 6 INPS '!$D$15:$D$35</c:f>
              <c:numCache>
                <c:formatCode>_-* #,##0_-;\-* #,##0_-;_-* "-"??_-;_-@_-</c:formatCode>
                <c:ptCount val="21"/>
                <c:pt idx="0">
                  <c:v>138112.66666666666</c:v>
                </c:pt>
                <c:pt idx="1">
                  <c:v>163753</c:v>
                </c:pt>
                <c:pt idx="2">
                  <c:v>151181.66666666666</c:v>
                </c:pt>
                <c:pt idx="3">
                  <c:v>142285.66666666666</c:v>
                </c:pt>
                <c:pt idx="4">
                  <c:v>124610.33333333333</c:v>
                </c:pt>
                <c:pt idx="5">
                  <c:v>142465.66666666666</c:v>
                </c:pt>
                <c:pt idx="6">
                  <c:v>132513.33333333334</c:v>
                </c:pt>
                <c:pt idx="7">
                  <c:v>125186</c:v>
                </c:pt>
                <c:pt idx="8">
                  <c:v>109206.66666666667</c:v>
                </c:pt>
                <c:pt idx="9">
                  <c:v>125283.66666666667</c:v>
                </c:pt>
                <c:pt idx="10">
                  <c:v>121885.33333333333</c:v>
                </c:pt>
                <c:pt idx="11">
                  <c:v>128337.33333333333</c:v>
                </c:pt>
                <c:pt idx="12">
                  <c:v>124845.33333333333</c:v>
                </c:pt>
                <c:pt idx="13">
                  <c:v>220641</c:v>
                </c:pt>
                <c:pt idx="14">
                  <c:v>219296</c:v>
                </c:pt>
                <c:pt idx="15">
                  <c:v>219939.66666666666</c:v>
                </c:pt>
                <c:pt idx="16">
                  <c:v>208667.66666666666</c:v>
                </c:pt>
                <c:pt idx="17">
                  <c:v>255684.33333333334</c:v>
                </c:pt>
                <c:pt idx="18">
                  <c:v>238558.33333333334</c:v>
                </c:pt>
                <c:pt idx="19">
                  <c:v>238091</c:v>
                </c:pt>
                <c:pt idx="20">
                  <c:v>223905.33333333334</c:v>
                </c:pt>
              </c:numCache>
            </c:numRef>
          </c:val>
          <c:extLst xmlns:c16r2="http://schemas.microsoft.com/office/drawing/2015/06/chart">
            <c:ext xmlns:c16="http://schemas.microsoft.com/office/drawing/2014/chart" uri="{C3380CC4-5D6E-409C-BE32-E72D297353CC}">
              <c16:uniqueId val="{00000001-3916-447D-9261-F59BFABB20F4}"/>
            </c:ext>
          </c:extLst>
        </c:ser>
        <c:dLbls>
          <c:showLegendKey val="0"/>
          <c:showVal val="0"/>
          <c:showCatName val="0"/>
          <c:showSerName val="0"/>
          <c:showPercent val="0"/>
          <c:showBubbleSize val="0"/>
        </c:dLbls>
        <c:gapWidth val="150"/>
        <c:axId val="298655104"/>
        <c:axId val="298662384"/>
      </c:barChart>
      <c:catAx>
        <c:axId val="298655104"/>
        <c:scaling>
          <c:orientation val="minMax"/>
        </c:scaling>
        <c:delete val="0"/>
        <c:axPos val="b"/>
        <c:numFmt formatCode="General" sourceLinked="0"/>
        <c:majorTickMark val="out"/>
        <c:minorTickMark val="none"/>
        <c:tickLblPos val="nextTo"/>
        <c:txPr>
          <a:bodyPr/>
          <a:lstStyle/>
          <a:p>
            <a:pPr>
              <a:defRPr sz="700" baseline="0"/>
            </a:pPr>
            <a:endParaRPr lang="it-IT"/>
          </a:p>
        </c:txPr>
        <c:crossAx val="298662384"/>
        <c:crosses val="autoZero"/>
        <c:auto val="1"/>
        <c:lblAlgn val="ctr"/>
        <c:lblOffset val="100"/>
        <c:noMultiLvlLbl val="0"/>
      </c:catAx>
      <c:valAx>
        <c:axId val="298662384"/>
        <c:scaling>
          <c:orientation val="minMax"/>
          <c:max val="450000"/>
        </c:scaling>
        <c:delete val="0"/>
        <c:axPos val="l"/>
        <c:majorGridlines>
          <c:spPr>
            <a:ln>
              <a:noFill/>
            </a:ln>
          </c:spPr>
        </c:majorGridlines>
        <c:numFmt formatCode="#,##0" sourceLinked="0"/>
        <c:majorTickMark val="out"/>
        <c:minorTickMark val="none"/>
        <c:tickLblPos val="nextTo"/>
        <c:txPr>
          <a:bodyPr/>
          <a:lstStyle/>
          <a:p>
            <a:pPr>
              <a:defRPr sz="700" baseline="0"/>
            </a:pPr>
            <a:endParaRPr lang="it-IT"/>
          </a:p>
        </c:txPr>
        <c:crossAx val="298655104"/>
        <c:crosses val="autoZero"/>
        <c:crossBetween val="between"/>
      </c:valAx>
    </c:plotArea>
    <c:legend>
      <c:legendPos val="r"/>
      <c:layout>
        <c:manualLayout>
          <c:xMode val="edge"/>
          <c:yMode val="edge"/>
          <c:x val="0.10076207427144972"/>
          <c:y val="4.7355981035230268E-2"/>
          <c:w val="0.51309161371352041"/>
          <c:h val="0.11236529931575145"/>
        </c:manualLayout>
      </c:layout>
      <c:overlay val="0"/>
      <c:txPr>
        <a:bodyPr/>
        <a:lstStyle/>
        <a:p>
          <a:pPr>
            <a:defRPr sz="700"/>
          </a:pPr>
          <a:endParaRPr lang="it-IT"/>
        </a:p>
      </c:txPr>
    </c:legend>
    <c:plotVisOnly val="1"/>
    <c:dispBlanksAs val="gap"/>
    <c:showDLblsOverMax val="0"/>
  </c:chart>
  <c:txPr>
    <a:bodyPr/>
    <a:lstStyle/>
    <a:p>
      <a:pPr>
        <a:defRPr sz="700" baseline="0">
          <a:latin typeface="Arial Narrow" panose="020B0606020202030204" pitchFamily="34" charset="0"/>
        </a:defRPr>
      </a:pPr>
      <a:endParaRPr lang="it-I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0.22353</cdr:x>
      <cdr:y>0.04114</cdr:y>
    </cdr:from>
    <cdr:to>
      <cdr:x>0.82275</cdr:x>
      <cdr:y>0.18513</cdr:y>
    </cdr:to>
    <cdr:sp macro="" textlink="">
      <cdr:nvSpPr>
        <cdr:cNvPr id="3" name="CasellaDiTesto 2"/>
        <cdr:cNvSpPr txBox="1"/>
      </cdr:nvSpPr>
      <cdr:spPr>
        <a:xfrm xmlns:a="http://schemas.openxmlformats.org/drawingml/2006/main">
          <a:off x="944563" y="111125"/>
          <a:ext cx="2532062" cy="3889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it-IT" sz="1100"/>
        </a:p>
      </cdr:txBody>
    </cdr:sp>
  </cdr:relSizeAnchor>
  <cdr:relSizeAnchor xmlns:cdr="http://schemas.openxmlformats.org/drawingml/2006/chartDrawing">
    <cdr:from>
      <cdr:x>0.09815</cdr:x>
      <cdr:y>0.01096</cdr:y>
    </cdr:from>
    <cdr:to>
      <cdr:x>0.97381</cdr:x>
      <cdr:y>0.26127</cdr:y>
    </cdr:to>
    <cdr:sp macro="" textlink="">
      <cdr:nvSpPr>
        <cdr:cNvPr id="4" name="CasellaDiTesto 3"/>
        <cdr:cNvSpPr txBox="1"/>
      </cdr:nvSpPr>
      <cdr:spPr>
        <a:xfrm xmlns:a="http://schemas.openxmlformats.org/drawingml/2006/main">
          <a:off x="331508" y="28338"/>
          <a:ext cx="2957603" cy="647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eaLnBrk="1" fontAlgn="auto" latinLnBrk="0" hangingPunct="1"/>
          <a:r>
            <a:rPr lang="it-IT" sz="800" b="1" i="0" baseline="0">
              <a:effectLst/>
              <a:latin typeface="Arial Narrow" panose="020B0606020202030204" pitchFamily="34" charset="0"/>
              <a:ea typeface="+mn-ea"/>
              <a:cs typeface="+mn-cs"/>
            </a:rPr>
            <a:t>POSIZIONI LAVORATIVE A TEMPO  INDETERMINATO </a:t>
          </a:r>
        </a:p>
        <a:p xmlns:a="http://schemas.openxmlformats.org/drawingml/2006/main">
          <a:pPr algn="ctr" rtl="0" eaLnBrk="1" fontAlgn="auto" latinLnBrk="0" hangingPunct="1"/>
          <a:r>
            <a:rPr lang="it-IT" sz="800" b="0" i="0" baseline="0">
              <a:effectLst/>
              <a:latin typeface="Arial Narrow" panose="020B0606020202030204" pitchFamily="34" charset="0"/>
              <a:ea typeface="+mn-ea"/>
              <a:cs typeface="+mn-cs"/>
            </a:rPr>
            <a:t>(composizione delle variazioni congiunturali)</a:t>
          </a:r>
          <a:r>
            <a:rPr lang="it-IT" sz="800" b="1" i="0" baseline="0">
              <a:effectLst/>
              <a:latin typeface="Arial Narrow" panose="020B0606020202030204" pitchFamily="34" charset="0"/>
              <a:ea typeface="+mn-ea"/>
              <a:cs typeface="+mn-cs"/>
            </a:rPr>
            <a:t> </a:t>
          </a:r>
          <a:endParaRPr lang="it-IT" sz="800">
            <a:effectLst/>
            <a:latin typeface="Arial Narrow" panose="020B0606020202030204" pitchFamily="34" charset="0"/>
          </a:endParaRPr>
        </a:p>
        <a:p xmlns:a="http://schemas.openxmlformats.org/drawingml/2006/main">
          <a:endParaRPr lang="it-IT" sz="1100"/>
        </a:p>
      </cdr:txBody>
    </cdr:sp>
  </cdr:relSizeAnchor>
</c:userShapes>
</file>

<file path=word/drawings/drawing2.xml><?xml version="1.0" encoding="utf-8"?>
<c:userShapes xmlns:c="http://schemas.openxmlformats.org/drawingml/2006/chart">
  <cdr:relSizeAnchor xmlns:cdr="http://schemas.openxmlformats.org/drawingml/2006/chartDrawing">
    <cdr:from>
      <cdr:x>0.4001</cdr:x>
      <cdr:y>0.02645</cdr:y>
    </cdr:from>
    <cdr:to>
      <cdr:x>0.6165</cdr:x>
      <cdr:y>0.36496</cdr:y>
    </cdr:to>
    <cdr:sp macro="" textlink="">
      <cdr:nvSpPr>
        <cdr:cNvPr id="2" name="CasellaDiTesto 1"/>
        <cdr:cNvSpPr txBox="1"/>
      </cdr:nvSpPr>
      <cdr:spPr>
        <a:xfrm xmlns:a="http://schemas.openxmlformats.org/drawingml/2006/main">
          <a:off x="1690688" y="714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t-IT" sz="1100"/>
        </a:p>
      </cdr:txBody>
    </cdr:sp>
  </cdr:relSizeAnchor>
  <cdr:relSizeAnchor xmlns:cdr="http://schemas.openxmlformats.org/drawingml/2006/chartDrawing">
    <cdr:from>
      <cdr:x>0.05169</cdr:x>
      <cdr:y>3.86739E-7</cdr:y>
    </cdr:from>
    <cdr:to>
      <cdr:x>0.8827</cdr:x>
      <cdr:y>0.18513</cdr:y>
    </cdr:to>
    <cdr:sp macro="" textlink="">
      <cdr:nvSpPr>
        <cdr:cNvPr id="3" name="CasellaDiTesto 2"/>
        <cdr:cNvSpPr txBox="1"/>
      </cdr:nvSpPr>
      <cdr:spPr>
        <a:xfrm xmlns:a="http://schemas.openxmlformats.org/drawingml/2006/main">
          <a:off x="177422" y="1"/>
          <a:ext cx="2852160" cy="478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it-IT" sz="1100"/>
        </a:p>
      </cdr:txBody>
    </cdr:sp>
  </cdr:relSizeAnchor>
  <cdr:relSizeAnchor xmlns:cdr="http://schemas.openxmlformats.org/drawingml/2006/chartDrawing">
    <cdr:from>
      <cdr:x>0.00994</cdr:x>
      <cdr:y>0.00221</cdr:y>
    </cdr:from>
    <cdr:to>
      <cdr:x>0.99615</cdr:x>
      <cdr:y>0.31405</cdr:y>
    </cdr:to>
    <cdr:sp macro="" textlink="">
      <cdr:nvSpPr>
        <cdr:cNvPr id="4" name="CasellaDiTesto 3"/>
        <cdr:cNvSpPr txBox="1"/>
      </cdr:nvSpPr>
      <cdr:spPr>
        <a:xfrm xmlns:a="http://schemas.openxmlformats.org/drawingml/2006/main">
          <a:off x="34119" y="5714"/>
          <a:ext cx="3384842" cy="8063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it-IT" sz="800" b="1" i="0" baseline="0">
              <a:effectLst/>
              <a:latin typeface="Arial Narrow" panose="020B0606020202030204" pitchFamily="34" charset="0"/>
              <a:ea typeface="+mn-ea"/>
              <a:cs typeface="+mn-cs"/>
            </a:rPr>
            <a:t>POSIZIONI LAVORATIVE A TEMPO  INDETERMINATO</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it-IT" sz="800" b="1" i="0" baseline="0">
              <a:effectLst/>
              <a:latin typeface="Arial Narrow" panose="020B0606020202030204" pitchFamily="34" charset="0"/>
              <a:ea typeface="+mn-ea"/>
              <a:cs typeface="+mn-cs"/>
            </a:rPr>
            <a:t> </a:t>
          </a:r>
          <a:r>
            <a:rPr lang="it-IT" sz="800" b="0" i="0" baseline="0">
              <a:effectLst/>
              <a:latin typeface="Arial Narrow" panose="020B0606020202030204" pitchFamily="34" charset="0"/>
              <a:ea typeface="+mn-ea"/>
              <a:cs typeface="+mn-cs"/>
            </a:rPr>
            <a:t>(composizioni delle varizioni tendenziali)  </a:t>
          </a:r>
          <a:endParaRPr lang="it-IT" sz="800" b="0">
            <a:effectLst/>
            <a:latin typeface="Arial Narrow" panose="020B0606020202030204" pitchFamily="34" charset="0"/>
          </a:endParaRPr>
        </a:p>
        <a:p xmlns:a="http://schemas.openxmlformats.org/drawingml/2006/main">
          <a:endParaRPr lang="it-IT" sz="1100"/>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31A08-68C1-4BF1-A24B-1E9E7562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14767</Words>
  <Characters>84173</Characters>
  <Application>Microsoft Office Word</Application>
  <DocSecurity>0</DocSecurity>
  <Lines>701</Lines>
  <Paragraphs>197</Paragraphs>
  <ScaleCrop>false</ScaleCrop>
  <HeadingPairs>
    <vt:vector size="2" baseType="variant">
      <vt:variant>
        <vt:lpstr>Titolo</vt:lpstr>
      </vt:variant>
      <vt:variant>
        <vt:i4>1</vt:i4>
      </vt:variant>
    </vt:vector>
  </HeadingPairs>
  <TitlesOfParts>
    <vt:vector size="1" baseType="lpstr">
      <vt:lpstr>Nota trimestrale sulle tendenze dell'occupazione</vt:lpstr>
    </vt:vector>
  </TitlesOfParts>
  <Company>Istat</Company>
  <LinksUpToDate>false</LinksUpToDate>
  <CharactersWithSpaces>98743</CharactersWithSpaces>
  <SharedDoc>false</SharedDoc>
  <HLinks>
    <vt:vector size="126" baseType="variant">
      <vt:variant>
        <vt:i4>3014738</vt:i4>
      </vt:variant>
      <vt:variant>
        <vt:i4>87</vt:i4>
      </vt:variant>
      <vt:variant>
        <vt:i4>0</vt:i4>
      </vt:variant>
      <vt:variant>
        <vt:i4>5</vt:i4>
      </vt:variant>
      <vt:variant>
        <vt:lpwstr>http://www.istat.it/it/files/2016/09/Mercato-del-lavoro-II-trim_2016.pdf?title=Il+mercato+del+lavoro+-+12%2Fset%2F2016+-+Testo+integrale+e+nota+metodologica.pdf</vt:lpwstr>
      </vt:variant>
      <vt:variant>
        <vt:lpwstr/>
      </vt:variant>
      <vt:variant>
        <vt:i4>262168</vt:i4>
      </vt:variant>
      <vt:variant>
        <vt:i4>84</vt:i4>
      </vt:variant>
      <vt:variant>
        <vt:i4>0</vt:i4>
      </vt:variant>
      <vt:variant>
        <vt:i4>5</vt:i4>
      </vt:variant>
      <vt:variant>
        <vt:lpwstr>http://www.istat.it/</vt:lpwstr>
      </vt:variant>
      <vt:variant>
        <vt:lpwstr/>
      </vt:variant>
      <vt:variant>
        <vt:i4>3014738</vt:i4>
      </vt:variant>
      <vt:variant>
        <vt:i4>81</vt:i4>
      </vt:variant>
      <vt:variant>
        <vt:i4>0</vt:i4>
      </vt:variant>
      <vt:variant>
        <vt:i4>5</vt:i4>
      </vt:variant>
      <vt:variant>
        <vt:lpwstr>http://www.istat.it/it/files/2016/09/Mercato-del-lavoro-II-trim_2016.pdf?title=Il+mercato+del+lavoro+-+12%2Fset%2F2016+-+Testo+integrale+e+nota+metodologica.pdf</vt:lpwstr>
      </vt:variant>
      <vt:variant>
        <vt:lpwstr/>
      </vt:variant>
      <vt:variant>
        <vt:i4>262168</vt:i4>
      </vt:variant>
      <vt:variant>
        <vt:i4>78</vt:i4>
      </vt:variant>
      <vt:variant>
        <vt:i4>0</vt:i4>
      </vt:variant>
      <vt:variant>
        <vt:i4>5</vt:i4>
      </vt:variant>
      <vt:variant>
        <vt:lpwstr>http://www.istat.it/</vt:lpwstr>
      </vt:variant>
      <vt:variant>
        <vt:lpwstr/>
      </vt:variant>
      <vt:variant>
        <vt:i4>7995432</vt:i4>
      </vt:variant>
      <vt:variant>
        <vt:i4>75</vt:i4>
      </vt:variant>
      <vt:variant>
        <vt:i4>0</vt:i4>
      </vt:variant>
      <vt:variant>
        <vt:i4>5</vt:i4>
      </vt:variant>
      <vt:variant>
        <vt:lpwstr>http://www.inps.it/webidentity/banchedatistatistiche/menu/voucher/main.html</vt:lpwstr>
      </vt:variant>
      <vt:variant>
        <vt:lpwstr/>
      </vt:variant>
      <vt:variant>
        <vt:i4>6815780</vt:i4>
      </vt:variant>
      <vt:variant>
        <vt:i4>72</vt:i4>
      </vt:variant>
      <vt:variant>
        <vt:i4>0</vt:i4>
      </vt:variant>
      <vt:variant>
        <vt:i4>5</vt:i4>
      </vt:variant>
      <vt:variant>
        <vt:lpwstr>http://www.inps.it/</vt:lpwstr>
      </vt:variant>
      <vt:variant>
        <vt:lpwstr/>
      </vt:variant>
      <vt:variant>
        <vt:i4>5505087</vt:i4>
      </vt:variant>
      <vt:variant>
        <vt:i4>69</vt:i4>
      </vt:variant>
      <vt:variant>
        <vt:i4>0</vt:i4>
      </vt:variant>
      <vt:variant>
        <vt:i4>5</vt:i4>
      </vt:variant>
      <vt:variant>
        <vt:lpwstr>http://www.inps.it/bussola/VisualizzaDOC.aspx?sVirtualURL=/docallegati/DatiEBilanci/osservatori/Documents/OsservatorioPrecariato_Gen-Set_2016_NoSintesi.pdf&amp;iIDDalPortale=10156</vt:lpwstr>
      </vt:variant>
      <vt:variant>
        <vt:lpwstr/>
      </vt:variant>
      <vt:variant>
        <vt:i4>6815780</vt:i4>
      </vt:variant>
      <vt:variant>
        <vt:i4>66</vt:i4>
      </vt:variant>
      <vt:variant>
        <vt:i4>0</vt:i4>
      </vt:variant>
      <vt:variant>
        <vt:i4>5</vt:i4>
      </vt:variant>
      <vt:variant>
        <vt:lpwstr>http://www.inps.it/</vt:lpwstr>
      </vt:variant>
      <vt:variant>
        <vt:lpwstr/>
      </vt:variant>
      <vt:variant>
        <vt:i4>3211378</vt:i4>
      </vt:variant>
      <vt:variant>
        <vt:i4>63</vt:i4>
      </vt:variant>
      <vt:variant>
        <vt:i4>0</vt:i4>
      </vt:variant>
      <vt:variant>
        <vt:i4>5</vt:i4>
      </vt:variant>
      <vt:variant>
        <vt:lpwstr>http://www.lavoro.gov.it/documenti-e-norme/studi-e-statistiche/Pagine/default.aspx</vt:lpwstr>
      </vt:variant>
      <vt:variant>
        <vt:lpwstr/>
      </vt:variant>
      <vt:variant>
        <vt:i4>5767241</vt:i4>
      </vt:variant>
      <vt:variant>
        <vt:i4>60</vt:i4>
      </vt:variant>
      <vt:variant>
        <vt:i4>0</vt:i4>
      </vt:variant>
      <vt:variant>
        <vt:i4>5</vt:i4>
      </vt:variant>
      <vt:variant>
        <vt:lpwstr>http://www.lavoro.gov.it/</vt:lpwstr>
      </vt:variant>
      <vt:variant>
        <vt:lpwstr/>
      </vt:variant>
      <vt:variant>
        <vt:i4>3145840</vt:i4>
      </vt:variant>
      <vt:variant>
        <vt:i4>54</vt:i4>
      </vt:variant>
      <vt:variant>
        <vt:i4>0</vt:i4>
      </vt:variant>
      <vt:variant>
        <vt:i4>5</vt:i4>
      </vt:variant>
      <vt:variant>
        <vt:lpwstr>https://it.wikipedia.org/wiki/INAIL</vt:lpwstr>
      </vt:variant>
      <vt:variant>
        <vt:lpwstr/>
      </vt:variant>
      <vt:variant>
        <vt:i4>2752609</vt:i4>
      </vt:variant>
      <vt:variant>
        <vt:i4>51</vt:i4>
      </vt:variant>
      <vt:variant>
        <vt:i4>0</vt:i4>
      </vt:variant>
      <vt:variant>
        <vt:i4>5</vt:i4>
      </vt:variant>
      <vt:variant>
        <vt:lpwstr>https://it.wikipedia.org/wiki/INPS</vt:lpwstr>
      </vt:variant>
      <vt:variant>
        <vt:lpwstr/>
      </vt:variant>
      <vt:variant>
        <vt:i4>5505134</vt:i4>
      </vt:variant>
      <vt:variant>
        <vt:i4>48</vt:i4>
      </vt:variant>
      <vt:variant>
        <vt:i4>0</vt:i4>
      </vt:variant>
      <vt:variant>
        <vt:i4>5</vt:i4>
      </vt:variant>
      <vt:variant>
        <vt:lpwstr>https://it.wikipedia.org/wiki/Regioni_d'Italia</vt:lpwstr>
      </vt:variant>
      <vt:variant>
        <vt:lpwstr/>
      </vt:variant>
      <vt:variant>
        <vt:i4>4915206</vt:i4>
      </vt:variant>
      <vt:variant>
        <vt:i4>45</vt:i4>
      </vt:variant>
      <vt:variant>
        <vt:i4>0</vt:i4>
      </vt:variant>
      <vt:variant>
        <vt:i4>5</vt:i4>
      </vt:variant>
      <vt:variant>
        <vt:lpwstr>https://it.wikipedia.org/wiki/Ministero_del_lavoro_e_delle_politiche_sociali</vt:lpwstr>
      </vt:variant>
      <vt:variant>
        <vt:lpwstr/>
      </vt:variant>
      <vt:variant>
        <vt:i4>4128890</vt:i4>
      </vt:variant>
      <vt:variant>
        <vt:i4>42</vt:i4>
      </vt:variant>
      <vt:variant>
        <vt:i4>0</vt:i4>
      </vt:variant>
      <vt:variant>
        <vt:i4>5</vt:i4>
      </vt:variant>
      <vt:variant>
        <vt:lpwstr>https://it.wikipedia.org/wiki/2008</vt:lpwstr>
      </vt:variant>
      <vt:variant>
        <vt:lpwstr/>
      </vt:variant>
      <vt:variant>
        <vt:i4>3670067</vt:i4>
      </vt:variant>
      <vt:variant>
        <vt:i4>39</vt:i4>
      </vt:variant>
      <vt:variant>
        <vt:i4>0</vt:i4>
      </vt:variant>
      <vt:variant>
        <vt:i4>5</vt:i4>
      </vt:variant>
      <vt:variant>
        <vt:lpwstr>https://it.wikipedia.org/wiki/Dipartimento_per_le_Riforme_e_l'Innovazione_nella_Pubblica_Amministrazione</vt:lpwstr>
      </vt:variant>
      <vt:variant>
        <vt:lpwstr/>
      </vt:variant>
      <vt:variant>
        <vt:i4>7274538</vt:i4>
      </vt:variant>
      <vt:variant>
        <vt:i4>36</vt:i4>
      </vt:variant>
      <vt:variant>
        <vt:i4>0</vt:i4>
      </vt:variant>
      <vt:variant>
        <vt:i4>5</vt:i4>
      </vt:variant>
      <vt:variant>
        <vt:lpwstr>https://it.wikipedia.org/wiki/Ministero_del_lavoro_e_della_previdenza_sociale</vt:lpwstr>
      </vt:variant>
      <vt:variant>
        <vt:lpwstr/>
      </vt:variant>
      <vt:variant>
        <vt:i4>58</vt:i4>
      </vt:variant>
      <vt:variant>
        <vt:i4>33</vt:i4>
      </vt:variant>
      <vt:variant>
        <vt:i4>0</vt:i4>
      </vt:variant>
      <vt:variant>
        <vt:i4>5</vt:i4>
      </vt:variant>
      <vt:variant>
        <vt:lpwstr>https://urlsand.esvalabs.com/?u=https%3A%2F%2Fwww.cliclavoro.gov.it%2FNormative%2FCircolare_MLPS_27_giugno_2013_n.27.pdf&amp;e=e7a274c6&amp;h=c263e086</vt:lpwstr>
      </vt:variant>
      <vt:variant>
        <vt:lpwstr/>
      </vt:variant>
      <vt:variant>
        <vt:i4>7864372</vt:i4>
      </vt:variant>
      <vt:variant>
        <vt:i4>30</vt:i4>
      </vt:variant>
      <vt:variant>
        <vt:i4>0</vt:i4>
      </vt:variant>
      <vt:variant>
        <vt:i4>5</vt:i4>
      </vt:variant>
      <vt:variant>
        <vt:lpwstr>https://urlsand.esvalabs.com/?u=https%3A%2F%2Fwww.cliclavoro.gov.it%2FNormative%2FDecreto_Interministeriale_27_marzo_2013.pdf&amp;e=e7a274c6&amp;h=663689e9</vt:lpwstr>
      </vt:variant>
      <vt:variant>
        <vt:lpwstr/>
      </vt:variant>
      <vt:variant>
        <vt:i4>1310757</vt:i4>
      </vt:variant>
      <vt:variant>
        <vt:i4>27</vt:i4>
      </vt:variant>
      <vt:variant>
        <vt:i4>0</vt:i4>
      </vt:variant>
      <vt:variant>
        <vt:i4>5</vt:i4>
      </vt:variant>
      <vt:variant>
        <vt:lpwstr>http://www.istat.it/it/files/2011/03/l_39320061230it00010039.pdf</vt:lpwstr>
      </vt:variant>
      <vt:variant>
        <vt:lpwstr/>
      </vt:variant>
      <vt:variant>
        <vt:i4>3276884</vt:i4>
      </vt:variant>
      <vt:variant>
        <vt:i4>24</vt:i4>
      </vt:variant>
      <vt:variant>
        <vt:i4>0</vt:i4>
      </vt:variant>
      <vt:variant>
        <vt:i4>5</vt:i4>
      </vt:variant>
      <vt:variant>
        <vt:lpwstr>http://ec.europa.eu/eurostat/ramon/nomenclatures/index.cfm?TargetUrl=LST_NOM_DTL&amp;StrNom=NACE_REV2&amp;StrLanguageCode=IT&amp;IntPcKey=&amp;StrLayoutCode=HIERARCHIC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trimestrale sulle tendenze dell'occupazione</dc:title>
  <dc:creator>Istat</dc:creator>
  <cp:lastModifiedBy>Fabio Massimo Rapiti</cp:lastModifiedBy>
  <cp:revision>5</cp:revision>
  <cp:lastPrinted>2019-06-14T16:58:00Z</cp:lastPrinted>
  <dcterms:created xsi:type="dcterms:W3CDTF">2019-06-18T14:18:00Z</dcterms:created>
  <dcterms:modified xsi:type="dcterms:W3CDTF">2019-06-19T11:16:00Z</dcterms:modified>
</cp:coreProperties>
</file>