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344562" w14:textId="77777777" w:rsidR="00C27B23" w:rsidRPr="0041405A" w:rsidRDefault="0048249A">
      <w:pPr>
        <w:pStyle w:val="Titolo"/>
        <w:pageBreakBefore/>
        <w:rPr>
          <w:rFonts w:ascii="Titillium" w:hAnsi="Titillium"/>
          <w:sz w:val="20"/>
          <w:szCs w:val="20"/>
        </w:rPr>
      </w:pPr>
      <w:r w:rsidRPr="0041405A">
        <w:rPr>
          <w:rFonts w:ascii="Titillium" w:hAnsi="Titillium"/>
          <w:sz w:val="20"/>
          <w:szCs w:val="20"/>
        </w:rPr>
        <w:t xml:space="preserve">Scheda di sintesi sulla rilevazione degli OIV o </w:t>
      </w:r>
      <w:r w:rsidR="009A5646" w:rsidRPr="0041405A">
        <w:rPr>
          <w:rFonts w:ascii="Titillium" w:hAnsi="Titillium"/>
          <w:sz w:val="20"/>
          <w:szCs w:val="20"/>
        </w:rPr>
        <w:t>organismi con funzioni analoghe</w:t>
      </w:r>
    </w:p>
    <w:p w14:paraId="55344563" w14:textId="77777777" w:rsidR="00C27B23" w:rsidRPr="0041405A" w:rsidRDefault="00C27B23">
      <w:pPr>
        <w:pStyle w:val="Paragrafoelenco"/>
        <w:ind w:left="0" w:firstLine="0"/>
        <w:rPr>
          <w:rFonts w:ascii="Titillium" w:hAnsi="Titillium"/>
          <w:sz w:val="20"/>
          <w:szCs w:val="20"/>
        </w:rPr>
      </w:pPr>
    </w:p>
    <w:p w14:paraId="55344564" w14:textId="77777777" w:rsidR="00C27B23" w:rsidRPr="0041405A" w:rsidRDefault="0048249A">
      <w:pPr>
        <w:pStyle w:val="Paragrafoelenco"/>
        <w:spacing w:line="360" w:lineRule="auto"/>
        <w:ind w:left="0" w:firstLine="0"/>
        <w:rPr>
          <w:rFonts w:ascii="Titillium" w:hAnsi="Titillium"/>
          <w:b/>
          <w:i/>
          <w:sz w:val="20"/>
          <w:szCs w:val="20"/>
        </w:rPr>
      </w:pPr>
      <w:r w:rsidRPr="0041405A">
        <w:rPr>
          <w:rFonts w:ascii="Titillium" w:hAnsi="Titillium"/>
          <w:b/>
          <w:i/>
          <w:sz w:val="20"/>
          <w:szCs w:val="20"/>
        </w:rPr>
        <w:t>Data di svolgimento della rilevazione</w:t>
      </w:r>
    </w:p>
    <w:p w14:paraId="5091A921" w14:textId="77777777" w:rsidR="00D25838" w:rsidRPr="00D25838" w:rsidRDefault="00D25838" w:rsidP="00D25838">
      <w:pPr>
        <w:pStyle w:val="Paragrafoelenco"/>
        <w:spacing w:after="0" w:line="276" w:lineRule="auto"/>
        <w:ind w:left="0" w:firstLine="0"/>
        <w:rPr>
          <w:rFonts w:ascii="Titillium" w:hAnsi="Titillium"/>
          <w:sz w:val="20"/>
          <w:szCs w:val="20"/>
        </w:rPr>
      </w:pPr>
      <w:r w:rsidRPr="00D25838">
        <w:rPr>
          <w:rFonts w:ascii="Titillium" w:hAnsi="Titillium"/>
          <w:sz w:val="20"/>
          <w:szCs w:val="20"/>
        </w:rPr>
        <w:t>L’Organismo indipendente di valutazione del Ministero del lavoro e delle politiche sociali – che ai sensi dell’art. 4, co. 16, del d.lgs. n. 150 del 2015 opera in avvalimento per l’Agenzia nazionale per le politiche attive del lavoro relativamente alle attività di cui all’art. 14 del d.lgs. n. 150 del 2009 - ha svolto rilevazioni sulla sezione “</w:t>
      </w:r>
      <w:r w:rsidRPr="006C7B1B">
        <w:rPr>
          <w:rFonts w:ascii="Titillium" w:hAnsi="Titillium"/>
          <w:i/>
          <w:iCs/>
          <w:sz w:val="20"/>
          <w:szCs w:val="20"/>
        </w:rPr>
        <w:t>Amministrazione trasparente</w:t>
      </w:r>
      <w:r w:rsidRPr="00D25838">
        <w:rPr>
          <w:rFonts w:ascii="Titillium" w:hAnsi="Titillium"/>
          <w:sz w:val="20"/>
          <w:szCs w:val="20"/>
        </w:rPr>
        <w:t xml:space="preserve">” del sito istituzionale dell’Agenzia, con riferimento agli obblighi individuati dalla delibera dell’ANAC n. 294 del 13 aprile 2021. </w:t>
      </w:r>
    </w:p>
    <w:p w14:paraId="55344567" w14:textId="0523F879" w:rsidR="00C27B23" w:rsidRDefault="00D25838" w:rsidP="00D25838">
      <w:pPr>
        <w:pStyle w:val="Paragrafoelenco"/>
        <w:spacing w:after="0" w:line="276" w:lineRule="auto"/>
        <w:ind w:left="0" w:firstLine="0"/>
        <w:rPr>
          <w:rFonts w:ascii="Titillium" w:hAnsi="Titillium"/>
          <w:sz w:val="20"/>
          <w:szCs w:val="20"/>
        </w:rPr>
      </w:pPr>
      <w:r w:rsidRPr="00D25838">
        <w:rPr>
          <w:rFonts w:ascii="Titillium" w:hAnsi="Titillium"/>
          <w:sz w:val="20"/>
          <w:szCs w:val="20"/>
        </w:rPr>
        <w:t>La rilevazione ha avuto inizio nel mese di aprile (26/4/2021) e si è conclusa nel mese di maggio (31/5/2021).</w:t>
      </w:r>
    </w:p>
    <w:p w14:paraId="4FFFE02B" w14:textId="77777777" w:rsidR="00D25838" w:rsidRPr="0041405A" w:rsidRDefault="00D25838" w:rsidP="00D25838">
      <w:pPr>
        <w:pStyle w:val="Paragrafoelenco"/>
        <w:spacing w:line="276" w:lineRule="auto"/>
        <w:ind w:left="0" w:firstLine="0"/>
        <w:rPr>
          <w:rFonts w:ascii="Titillium" w:hAnsi="Titillium"/>
          <w:sz w:val="20"/>
          <w:szCs w:val="20"/>
        </w:rPr>
      </w:pPr>
    </w:p>
    <w:p w14:paraId="55344568" w14:textId="77777777" w:rsidR="00C27B23" w:rsidRPr="0041405A" w:rsidRDefault="0048249A">
      <w:pPr>
        <w:pStyle w:val="Paragrafoelenco"/>
        <w:spacing w:after="0"/>
        <w:ind w:left="0" w:firstLine="0"/>
        <w:rPr>
          <w:rFonts w:ascii="Titillium" w:hAnsi="Titillium"/>
          <w:b/>
          <w:i/>
          <w:sz w:val="20"/>
          <w:szCs w:val="20"/>
        </w:rPr>
      </w:pPr>
      <w:r w:rsidRPr="0041405A">
        <w:rPr>
          <w:rFonts w:ascii="Titillium" w:hAnsi="Titillium"/>
          <w:b/>
          <w:i/>
          <w:sz w:val="20"/>
          <w:szCs w:val="20"/>
        </w:rPr>
        <w:t xml:space="preserve">Estensione della rilevazione (nel </w:t>
      </w:r>
      <w:r w:rsidR="00FC7906" w:rsidRPr="0041405A">
        <w:rPr>
          <w:rFonts w:ascii="Titillium" w:hAnsi="Titillium"/>
          <w:b/>
          <w:i/>
          <w:sz w:val="20"/>
          <w:szCs w:val="20"/>
        </w:rPr>
        <w:t xml:space="preserve">solo </w:t>
      </w:r>
      <w:r w:rsidRPr="0041405A">
        <w:rPr>
          <w:rFonts w:ascii="Titillium" w:hAnsi="Titillium"/>
          <w:b/>
          <w:i/>
          <w:sz w:val="20"/>
          <w:szCs w:val="20"/>
        </w:rPr>
        <w:t>caso di ammin</w:t>
      </w:r>
      <w:r w:rsidR="007A107C" w:rsidRPr="0041405A">
        <w:rPr>
          <w:rFonts w:ascii="Titillium" w:hAnsi="Titillium"/>
          <w:b/>
          <w:i/>
          <w:sz w:val="20"/>
          <w:szCs w:val="20"/>
        </w:rPr>
        <w:t>istrazioni</w:t>
      </w:r>
      <w:r w:rsidR="00FC7906" w:rsidRPr="0041405A">
        <w:rPr>
          <w:rFonts w:ascii="Titillium" w:hAnsi="Titillium"/>
          <w:b/>
          <w:i/>
          <w:sz w:val="20"/>
          <w:szCs w:val="20"/>
        </w:rPr>
        <w:t>/enti</w:t>
      </w:r>
      <w:r w:rsidR="007A107C" w:rsidRPr="0041405A">
        <w:rPr>
          <w:rFonts w:ascii="Titillium" w:hAnsi="Titillium"/>
          <w:b/>
          <w:i/>
          <w:sz w:val="20"/>
          <w:szCs w:val="20"/>
        </w:rPr>
        <w:t xml:space="preserve"> con uffici periferici)</w:t>
      </w:r>
    </w:p>
    <w:p w14:paraId="2C338540" w14:textId="77777777" w:rsidR="00D25838" w:rsidRDefault="00D25838">
      <w:pPr>
        <w:pStyle w:val="Paragrafoelenco"/>
        <w:spacing w:after="0"/>
        <w:ind w:left="0" w:firstLine="0"/>
        <w:rPr>
          <w:rFonts w:ascii="Titillium" w:hAnsi="Titillium"/>
          <w:b/>
          <w:sz w:val="20"/>
          <w:szCs w:val="20"/>
          <w:u w:val="single"/>
        </w:rPr>
      </w:pPr>
    </w:p>
    <w:p w14:paraId="55344569" w14:textId="4A90B318" w:rsidR="00C27B23" w:rsidRPr="00D25838" w:rsidRDefault="00D25838" w:rsidP="00D25838">
      <w:pPr>
        <w:pStyle w:val="Paragrafoelenco"/>
        <w:spacing w:after="0" w:line="276" w:lineRule="auto"/>
        <w:ind w:left="0" w:firstLine="0"/>
        <w:rPr>
          <w:rFonts w:ascii="Titillium" w:hAnsi="Titillium"/>
          <w:bCs/>
          <w:sz w:val="20"/>
          <w:szCs w:val="20"/>
        </w:rPr>
      </w:pPr>
      <w:r w:rsidRPr="00D25838">
        <w:rPr>
          <w:rFonts w:ascii="Titillium" w:hAnsi="Titillium"/>
          <w:bCs/>
          <w:sz w:val="20"/>
          <w:szCs w:val="20"/>
        </w:rPr>
        <w:t>L’ANPAL non è articolata in uffici territoriali e non sono presenti articolazioni organizzative autonome. Non si è proceduto, pertanto, alla compilazione dell’Allegato 2.1.A della delibera ANAC n. 294/2021 riferito alla rilevazione degli obblighi di pubblicazione per gli uffici periferici.</w:t>
      </w:r>
    </w:p>
    <w:p w14:paraId="5534456D" w14:textId="22CB47CC" w:rsidR="00C27B23" w:rsidRDefault="00C27B23" w:rsidP="00D25838">
      <w:pPr>
        <w:pStyle w:val="Paragrafoelenco"/>
        <w:spacing w:after="0" w:line="276" w:lineRule="auto"/>
        <w:ind w:left="720" w:firstLine="0"/>
        <w:rPr>
          <w:rFonts w:ascii="Titillium" w:hAnsi="Titillium"/>
          <w:sz w:val="20"/>
          <w:szCs w:val="20"/>
        </w:rPr>
      </w:pPr>
    </w:p>
    <w:p w14:paraId="6B8E2F4E" w14:textId="77777777" w:rsidR="00D25838" w:rsidRPr="0041405A" w:rsidRDefault="00D25838" w:rsidP="00D25838">
      <w:pPr>
        <w:pStyle w:val="Paragrafoelenco"/>
        <w:spacing w:after="0" w:line="276" w:lineRule="auto"/>
        <w:ind w:left="720" w:firstLine="0"/>
        <w:rPr>
          <w:rFonts w:ascii="Titillium" w:hAnsi="Titillium"/>
          <w:sz w:val="20"/>
          <w:szCs w:val="20"/>
        </w:rPr>
      </w:pPr>
    </w:p>
    <w:p w14:paraId="5534456E" w14:textId="77777777" w:rsidR="00C27B23" w:rsidRPr="0041405A" w:rsidRDefault="0048249A">
      <w:pPr>
        <w:pStyle w:val="Paragrafoelenco"/>
        <w:spacing w:line="360" w:lineRule="auto"/>
        <w:ind w:left="0" w:firstLine="0"/>
        <w:rPr>
          <w:rFonts w:ascii="Titillium" w:hAnsi="Titillium"/>
          <w:b/>
          <w:i/>
          <w:sz w:val="20"/>
          <w:szCs w:val="20"/>
        </w:rPr>
      </w:pPr>
      <w:r w:rsidRPr="0041405A">
        <w:rPr>
          <w:rFonts w:ascii="Titillium" w:hAnsi="Titillium"/>
          <w:b/>
          <w:i/>
          <w:sz w:val="20"/>
          <w:szCs w:val="20"/>
        </w:rPr>
        <w:t xml:space="preserve">Procedure e modalità seguite per la rilevazione </w:t>
      </w:r>
    </w:p>
    <w:p w14:paraId="52240A2C" w14:textId="1EF95D51" w:rsidR="00D25838" w:rsidRPr="00D25838" w:rsidRDefault="00D25838" w:rsidP="00832796">
      <w:pPr>
        <w:spacing w:line="276" w:lineRule="auto"/>
        <w:rPr>
          <w:rFonts w:ascii="Titillium" w:hAnsi="Titillium"/>
          <w:sz w:val="20"/>
          <w:szCs w:val="20"/>
        </w:rPr>
      </w:pPr>
      <w:r w:rsidRPr="00D25838">
        <w:rPr>
          <w:rFonts w:ascii="Titillium" w:hAnsi="Titillium"/>
          <w:sz w:val="20"/>
          <w:szCs w:val="20"/>
        </w:rPr>
        <w:t>Le rilevazioni dell’OIV hanno avuto ad oggetto le informazioni pubblicate sulla sezione “</w:t>
      </w:r>
      <w:r w:rsidRPr="006C7B1B">
        <w:rPr>
          <w:rFonts w:ascii="Titillium" w:hAnsi="Titillium"/>
          <w:i/>
          <w:iCs/>
          <w:sz w:val="20"/>
          <w:szCs w:val="20"/>
        </w:rPr>
        <w:t>Amministrazione trasparente</w:t>
      </w:r>
      <w:r w:rsidRPr="00D25838">
        <w:rPr>
          <w:rFonts w:ascii="Titillium" w:hAnsi="Titillium"/>
          <w:sz w:val="20"/>
          <w:szCs w:val="20"/>
        </w:rPr>
        <w:t>” del sito istituzionale dell’Agenzia, secondo le previsioni contenute nella delibera ANAC n. 1310/2016 e sulla base di quanto oggetto di indagine della delibera ANAC n. 294/2021. Nel corso della rilevazione, al fine di pervenire all’aggiornamento e all’implementazione delle informazioni richieste, la Struttura tecnica di questo Organismo si è interfacciata in momenti diversi con il Responsabile della prevenzione della corruzione dell’Agenzia.</w:t>
      </w:r>
    </w:p>
    <w:p w14:paraId="4BA72402" w14:textId="4EAD0943" w:rsidR="00D25838" w:rsidRPr="00D25838" w:rsidRDefault="00D25838" w:rsidP="00832796">
      <w:pPr>
        <w:spacing w:line="276" w:lineRule="auto"/>
        <w:rPr>
          <w:rFonts w:ascii="Titillium" w:hAnsi="Titillium"/>
          <w:sz w:val="20"/>
          <w:szCs w:val="20"/>
        </w:rPr>
      </w:pPr>
      <w:r w:rsidRPr="00D25838">
        <w:rPr>
          <w:rFonts w:ascii="Titillium" w:hAnsi="Titillium"/>
          <w:sz w:val="20"/>
          <w:szCs w:val="20"/>
        </w:rPr>
        <w:t>L’interlocuzione si è sviluppata soprattutto in ordine alle verifiche che il Responsabile svolge stabilmente sulle pagine internet della sezione denominata “</w:t>
      </w:r>
      <w:r w:rsidRPr="006C7B1B">
        <w:rPr>
          <w:rFonts w:ascii="Titillium" w:hAnsi="Titillium"/>
          <w:i/>
          <w:iCs/>
          <w:sz w:val="20"/>
          <w:szCs w:val="20"/>
        </w:rPr>
        <w:t>Amministrazione trasparente</w:t>
      </w:r>
      <w:r w:rsidRPr="00D25838">
        <w:rPr>
          <w:rFonts w:ascii="Titillium" w:hAnsi="Titillium"/>
          <w:sz w:val="20"/>
          <w:szCs w:val="20"/>
        </w:rPr>
        <w:t xml:space="preserve">”, ai sensi dell’art. 43 del d.lgs. n. 33/2013, ed è stata indirizzata in modo particolare sugli obblighi oggetto di indagine della citata delibera </w:t>
      </w:r>
      <w:proofErr w:type="spellStart"/>
      <w:r w:rsidRPr="00D25838">
        <w:rPr>
          <w:rFonts w:ascii="Titillium" w:hAnsi="Titillium"/>
          <w:sz w:val="20"/>
          <w:szCs w:val="20"/>
        </w:rPr>
        <w:t>Anac</w:t>
      </w:r>
      <w:proofErr w:type="spellEnd"/>
      <w:r w:rsidRPr="00D25838">
        <w:rPr>
          <w:rFonts w:ascii="Titillium" w:hAnsi="Titillium"/>
          <w:sz w:val="20"/>
          <w:szCs w:val="20"/>
        </w:rPr>
        <w:t xml:space="preserve"> n 294. Il lavoro di collaborazione può considerarsi proficuo poiché da parte dell’Agenzia c’è stata un’azione di implementazione costante delle informazioni e</w:t>
      </w:r>
      <w:r w:rsidR="006C7B1B">
        <w:rPr>
          <w:rFonts w:ascii="Titillium" w:hAnsi="Titillium"/>
          <w:sz w:val="20"/>
          <w:szCs w:val="20"/>
        </w:rPr>
        <w:t xml:space="preserve"> </w:t>
      </w:r>
      <w:r w:rsidRPr="00D25838">
        <w:rPr>
          <w:rFonts w:ascii="Titillium" w:hAnsi="Titillium"/>
          <w:sz w:val="20"/>
          <w:szCs w:val="20"/>
        </w:rPr>
        <w:t>un</w:t>
      </w:r>
      <w:r w:rsidR="006C7B1B">
        <w:rPr>
          <w:rFonts w:ascii="Titillium" w:hAnsi="Titillium"/>
          <w:sz w:val="20"/>
          <w:szCs w:val="20"/>
        </w:rPr>
        <w:t>’</w:t>
      </w:r>
      <w:r w:rsidRPr="00D25838">
        <w:rPr>
          <w:rFonts w:ascii="Titillium" w:hAnsi="Titillium"/>
          <w:sz w:val="20"/>
          <w:szCs w:val="20"/>
        </w:rPr>
        <w:t>attenzione ai contenuti precipui delle pagine del sito.</w:t>
      </w:r>
    </w:p>
    <w:p w14:paraId="277CD21B" w14:textId="2E23D67A" w:rsidR="00D25838" w:rsidRDefault="00D25838" w:rsidP="00832796">
      <w:pPr>
        <w:spacing w:line="276" w:lineRule="auto"/>
        <w:rPr>
          <w:rFonts w:ascii="Titillium" w:hAnsi="Titillium"/>
          <w:sz w:val="20"/>
          <w:szCs w:val="20"/>
        </w:rPr>
      </w:pPr>
      <w:r w:rsidRPr="00D25838">
        <w:rPr>
          <w:rFonts w:ascii="Titillium" w:hAnsi="Titillium"/>
          <w:sz w:val="20"/>
          <w:szCs w:val="20"/>
        </w:rPr>
        <w:t>Le singole sottosezioni sono state esaminate dall’OIV e al 31 maggio 2021 risultano essere aggiornate con i dati richiesti dalla Griglia di cui all’</w:t>
      </w:r>
      <w:proofErr w:type="spellStart"/>
      <w:r w:rsidRPr="00D25838">
        <w:rPr>
          <w:rFonts w:ascii="Titillium" w:hAnsi="Titillium"/>
          <w:sz w:val="20"/>
          <w:szCs w:val="20"/>
        </w:rPr>
        <w:t>All</w:t>
      </w:r>
      <w:proofErr w:type="spellEnd"/>
      <w:r w:rsidRPr="00D25838">
        <w:rPr>
          <w:rFonts w:ascii="Titillium" w:hAnsi="Titillium"/>
          <w:sz w:val="20"/>
          <w:szCs w:val="20"/>
        </w:rPr>
        <w:t>. 2.1.A della delibera. La sottosezione relativa ai “</w:t>
      </w:r>
      <w:r w:rsidRPr="006C7B1B">
        <w:rPr>
          <w:rFonts w:ascii="Titillium" w:hAnsi="Titillium"/>
          <w:i/>
          <w:iCs/>
          <w:sz w:val="20"/>
          <w:szCs w:val="20"/>
        </w:rPr>
        <w:t>bandi di gara e contratti</w:t>
      </w:r>
      <w:r w:rsidRPr="00D25838">
        <w:rPr>
          <w:rFonts w:ascii="Titillium" w:hAnsi="Titillium"/>
          <w:sz w:val="20"/>
          <w:szCs w:val="20"/>
        </w:rPr>
        <w:t>” riporta informazioni in formato tabellare, anche se non secondo le modalità della delibera ANAC n. 39/2016 (formato XLM), bensì in formato XLS. Nella sottosezione di II livello riferita agli “</w:t>
      </w:r>
      <w:r w:rsidRPr="006C7B1B">
        <w:rPr>
          <w:rFonts w:ascii="Titillium" w:hAnsi="Titillium"/>
          <w:i/>
          <w:iCs/>
          <w:sz w:val="20"/>
          <w:szCs w:val="20"/>
        </w:rPr>
        <w:t>Atti delle amministrazioni aggiudicatrici e degli enti aggiudicatari distintamente per ogni procedura</w:t>
      </w:r>
      <w:r w:rsidRPr="00D25838">
        <w:rPr>
          <w:rFonts w:ascii="Titillium" w:hAnsi="Titillium"/>
          <w:sz w:val="20"/>
          <w:szCs w:val="20"/>
        </w:rPr>
        <w:t>”, sono riportati gli avvisi e i bandi di gara dal 2019 in poi, essendosi avvalsa l’Agenzia fino al 2018 del Ministero del lavoro e delle politiche sociali anche ai fini dell’acquisizione di beni e servizi.</w:t>
      </w:r>
    </w:p>
    <w:p w14:paraId="2FE7C483" w14:textId="77777777" w:rsidR="00D25838" w:rsidRPr="00D25838" w:rsidRDefault="00D25838" w:rsidP="00D25838">
      <w:pPr>
        <w:spacing w:line="360" w:lineRule="auto"/>
        <w:rPr>
          <w:rFonts w:ascii="Titillium" w:hAnsi="Titillium"/>
          <w:sz w:val="20"/>
          <w:szCs w:val="20"/>
        </w:rPr>
      </w:pPr>
    </w:p>
    <w:p w14:paraId="55344577" w14:textId="3B7A3069" w:rsidR="00C27B23" w:rsidRDefault="0048249A">
      <w:pPr>
        <w:spacing w:line="360" w:lineRule="auto"/>
        <w:rPr>
          <w:rFonts w:ascii="Titillium" w:hAnsi="Titillium"/>
          <w:b/>
          <w:i/>
          <w:sz w:val="20"/>
          <w:szCs w:val="20"/>
        </w:rPr>
      </w:pPr>
      <w:r w:rsidRPr="0041405A">
        <w:rPr>
          <w:rFonts w:ascii="Titillium" w:hAnsi="Titillium"/>
          <w:b/>
          <w:i/>
          <w:sz w:val="20"/>
          <w:szCs w:val="20"/>
        </w:rPr>
        <w:t>Aspetti critici riscontrati nel corso della rilevazione</w:t>
      </w:r>
    </w:p>
    <w:p w14:paraId="59A00994" w14:textId="1721DFD7" w:rsidR="00D25838" w:rsidRPr="00D25838" w:rsidRDefault="00D25838" w:rsidP="00832796">
      <w:pPr>
        <w:spacing w:line="276" w:lineRule="auto"/>
        <w:rPr>
          <w:rFonts w:ascii="Titillium" w:hAnsi="Titillium"/>
          <w:bCs/>
          <w:iCs/>
          <w:sz w:val="20"/>
          <w:szCs w:val="20"/>
        </w:rPr>
      </w:pPr>
      <w:r w:rsidRPr="00D25838">
        <w:rPr>
          <w:rFonts w:ascii="Titillium" w:hAnsi="Titillium"/>
          <w:bCs/>
          <w:iCs/>
          <w:sz w:val="20"/>
          <w:szCs w:val="20"/>
        </w:rPr>
        <w:t>Il percorso di aggiornamento della Sezione “</w:t>
      </w:r>
      <w:r w:rsidR="006C7B1B" w:rsidRPr="006C7B1B">
        <w:rPr>
          <w:rFonts w:ascii="Titillium" w:hAnsi="Titillium"/>
          <w:bCs/>
          <w:i/>
          <w:sz w:val="20"/>
          <w:szCs w:val="20"/>
        </w:rPr>
        <w:t>A</w:t>
      </w:r>
      <w:r w:rsidRPr="006C7B1B">
        <w:rPr>
          <w:rFonts w:ascii="Titillium" w:hAnsi="Titillium"/>
          <w:bCs/>
          <w:i/>
          <w:sz w:val="20"/>
          <w:szCs w:val="20"/>
        </w:rPr>
        <w:t>mministrazione trasparente</w:t>
      </w:r>
      <w:r w:rsidRPr="00D25838">
        <w:rPr>
          <w:rFonts w:ascii="Titillium" w:hAnsi="Titillium"/>
          <w:bCs/>
          <w:iCs/>
          <w:sz w:val="20"/>
          <w:szCs w:val="20"/>
        </w:rPr>
        <w:t xml:space="preserve">” è stato intrapreso dall’Agenzia in modo continuativo e nel corso del 2020 e del 2021 sono state implementate le informazioni risultanti non aggiornate o carenti. In tal senso, sono stati registrati positivi avanzamenti nell’attuazione delle prescrizioni normative che, tuttavia, devono essere perseguiti con costanza, per pervenire ad una rappresentazione sempre più aderente alle disposizioni di legge e </w:t>
      </w:r>
      <w:r w:rsidRPr="00D25838">
        <w:rPr>
          <w:rFonts w:ascii="Titillium" w:hAnsi="Titillium"/>
          <w:bCs/>
          <w:iCs/>
          <w:sz w:val="20"/>
          <w:szCs w:val="20"/>
        </w:rPr>
        <w:lastRenderedPageBreak/>
        <w:t>ai requisiti richiesti dettagliatamente dalla delibera ANAC n. 1310/2016.</w:t>
      </w:r>
    </w:p>
    <w:p w14:paraId="55344579" w14:textId="77777777" w:rsidR="008A0378" w:rsidRPr="0041405A" w:rsidRDefault="008A0378">
      <w:pPr>
        <w:spacing w:line="360" w:lineRule="auto"/>
        <w:rPr>
          <w:rFonts w:ascii="Titillium" w:hAnsi="Titillium"/>
          <w:b/>
          <w:sz w:val="20"/>
          <w:szCs w:val="20"/>
          <w:u w:val="single"/>
        </w:rPr>
      </w:pPr>
    </w:p>
    <w:p w14:paraId="5534457A" w14:textId="0BE69C24" w:rsidR="00C27B23" w:rsidRDefault="0048249A">
      <w:pPr>
        <w:spacing w:line="360" w:lineRule="auto"/>
        <w:rPr>
          <w:rFonts w:ascii="Titillium" w:hAnsi="Titillium"/>
          <w:b/>
          <w:i/>
          <w:sz w:val="20"/>
          <w:szCs w:val="20"/>
        </w:rPr>
      </w:pPr>
      <w:r w:rsidRPr="0041405A">
        <w:rPr>
          <w:rFonts w:ascii="Titillium" w:hAnsi="Titillium"/>
          <w:b/>
          <w:i/>
          <w:sz w:val="20"/>
          <w:szCs w:val="20"/>
        </w:rPr>
        <w:t>Eventuale documentazione da allegare</w:t>
      </w:r>
    </w:p>
    <w:p w14:paraId="2900BABD" w14:textId="6D3859F4" w:rsidR="00D25838" w:rsidRPr="00D25838" w:rsidRDefault="00D25838" w:rsidP="00832796">
      <w:pPr>
        <w:spacing w:line="276" w:lineRule="auto"/>
        <w:rPr>
          <w:rFonts w:ascii="Titillium" w:hAnsi="Titillium"/>
          <w:bCs/>
          <w:iCs/>
          <w:sz w:val="20"/>
          <w:szCs w:val="20"/>
        </w:rPr>
      </w:pPr>
      <w:r w:rsidRPr="00D25838">
        <w:rPr>
          <w:rFonts w:ascii="Titillium" w:hAnsi="Titillium"/>
          <w:bCs/>
          <w:iCs/>
          <w:sz w:val="20"/>
          <w:szCs w:val="20"/>
        </w:rPr>
        <w:t>Tutta la documentazione e le carte di lavoro redatte nel corso dell’istruttoria sono a disposizione presso l’OIV per eventuali consultazioni.</w:t>
      </w:r>
    </w:p>
    <w:sectPr w:rsidR="00D25838" w:rsidRPr="00D25838">
      <w:headerReference w:type="default" r:id="rId7"/>
      <w:pgSz w:w="11906" w:h="16838"/>
      <w:pgMar w:top="1417" w:right="1134" w:bottom="708" w:left="1134" w:header="708"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34457D" w14:textId="77777777" w:rsidR="0060106A" w:rsidRDefault="0060106A">
      <w:pPr>
        <w:spacing w:after="0" w:line="240" w:lineRule="auto"/>
      </w:pPr>
      <w:r>
        <w:separator/>
      </w:r>
    </w:p>
  </w:endnote>
  <w:endnote w:type="continuationSeparator" w:id="0">
    <w:p w14:paraId="5534457E" w14:textId="77777777" w:rsidR="0060106A" w:rsidRDefault="00601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tillium">
    <w:altName w:val="Calibri"/>
    <w:panose1 w:val="00000000000000000000"/>
    <w:charset w:val="00"/>
    <w:family w:val="modern"/>
    <w:notTrueType/>
    <w:pitch w:val="variable"/>
    <w:sig w:usb0="00000007" w:usb1="00000001"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34457B" w14:textId="77777777" w:rsidR="0060106A" w:rsidRDefault="0060106A">
      <w:pPr>
        <w:spacing w:after="0" w:line="240" w:lineRule="auto"/>
      </w:pPr>
      <w:r>
        <w:separator/>
      </w:r>
    </w:p>
  </w:footnote>
  <w:footnote w:type="continuationSeparator" w:id="0">
    <w:p w14:paraId="5534457C" w14:textId="77777777" w:rsidR="0060106A" w:rsidRDefault="00601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4457F" w14:textId="77777777" w:rsidR="0085206C" w:rsidRDefault="0085206C" w:rsidP="006E496C">
    <w:pPr>
      <w:pStyle w:val="Intestazione"/>
      <w:jc w:val="right"/>
      <w:rPr>
        <w:rFonts w:ascii="Garamond" w:hAnsi="Garamond"/>
        <w:b/>
      </w:rPr>
    </w:pPr>
    <w:r>
      <w:rPr>
        <w:noProof/>
        <w:lang w:eastAsia="it-IT"/>
      </w:rPr>
      <w:drawing>
        <wp:anchor distT="0" distB="0" distL="114300" distR="114300" simplePos="0" relativeHeight="251657728" behindDoc="0" locked="0" layoutInCell="1" allowOverlap="1" wp14:anchorId="55344585" wp14:editId="55344586">
          <wp:simplePos x="0" y="0"/>
          <wp:positionH relativeFrom="margin">
            <wp:posOffset>-271780</wp:posOffset>
          </wp:positionH>
          <wp:positionV relativeFrom="topMargin">
            <wp:posOffset>453390</wp:posOffset>
          </wp:positionV>
          <wp:extent cx="2879725" cy="341630"/>
          <wp:effectExtent l="0" t="0" r="0" b="127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9725" cy="341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344580" w14:textId="77777777" w:rsidR="0085206C" w:rsidRDefault="0085206C" w:rsidP="006E496C">
    <w:pPr>
      <w:pStyle w:val="Intestazione"/>
      <w:jc w:val="right"/>
      <w:rPr>
        <w:rFonts w:ascii="Garamond" w:hAnsi="Garamond"/>
        <w:b/>
      </w:rPr>
    </w:pPr>
  </w:p>
  <w:p w14:paraId="55344581" w14:textId="77777777" w:rsidR="0085206C" w:rsidRDefault="0085206C" w:rsidP="0085206C">
    <w:pPr>
      <w:pStyle w:val="Intestazione"/>
      <w:tabs>
        <w:tab w:val="left" w:pos="3878"/>
      </w:tabs>
      <w:rPr>
        <w:rFonts w:ascii="Garamond" w:hAnsi="Garamond"/>
        <w:b/>
      </w:rPr>
    </w:pPr>
    <w:r>
      <w:rPr>
        <w:rFonts w:ascii="Garamond" w:hAnsi="Garamond"/>
        <w:b/>
      </w:rPr>
      <w:tab/>
    </w:r>
    <w:r>
      <w:rPr>
        <w:rFonts w:ascii="Garamond" w:hAnsi="Garamond"/>
        <w:b/>
      </w:rPr>
      <w:tab/>
    </w:r>
  </w:p>
  <w:p w14:paraId="55344582" w14:textId="77777777" w:rsidR="00C27B23" w:rsidRPr="000F2C0E" w:rsidRDefault="0048249A" w:rsidP="006E496C">
    <w:pPr>
      <w:pStyle w:val="Intestazione"/>
      <w:jc w:val="right"/>
      <w:rPr>
        <w:rFonts w:ascii="Titillium" w:hAnsi="Titillium" w:cs="Times New Roman"/>
        <w:b/>
        <w:sz w:val="20"/>
        <w:szCs w:val="20"/>
      </w:rPr>
    </w:pPr>
    <w:r w:rsidRPr="000F2C0E">
      <w:rPr>
        <w:rFonts w:ascii="Titillium" w:hAnsi="Titillium"/>
        <w:b/>
        <w:sz w:val="20"/>
        <w:szCs w:val="20"/>
      </w:rPr>
      <w:t xml:space="preserve">Allegato 3 alla </w:t>
    </w:r>
    <w:r w:rsidRPr="000F2C0E">
      <w:rPr>
        <w:rFonts w:ascii="Titillium" w:hAnsi="Titillium" w:cs="Times New Roman"/>
        <w:b/>
        <w:sz w:val="20"/>
        <w:szCs w:val="20"/>
      </w:rPr>
      <w:t>delibera</w:t>
    </w:r>
    <w:r w:rsidR="004833D5" w:rsidRPr="000F2C0E">
      <w:rPr>
        <w:rFonts w:ascii="Titillium" w:hAnsi="Titillium" w:cs="Times New Roman"/>
        <w:b/>
        <w:sz w:val="20"/>
        <w:szCs w:val="20"/>
      </w:rPr>
      <w:t xml:space="preserve"> ANAC</w:t>
    </w:r>
    <w:r w:rsidRPr="000F2C0E">
      <w:rPr>
        <w:rFonts w:ascii="Titillium" w:hAnsi="Titillium" w:cs="Times New Roman"/>
        <w:b/>
        <w:sz w:val="20"/>
        <w:szCs w:val="20"/>
      </w:rPr>
      <w:t xml:space="preserve"> n. </w:t>
    </w:r>
    <w:r w:rsidR="0041405A" w:rsidRPr="000F2C0E">
      <w:rPr>
        <w:rFonts w:ascii="Titillium" w:hAnsi="Titillium" w:cs="Times New Roman"/>
        <w:b/>
        <w:sz w:val="20"/>
        <w:szCs w:val="20"/>
      </w:rPr>
      <w:t>294</w:t>
    </w:r>
    <w:r w:rsidRPr="000F2C0E">
      <w:rPr>
        <w:rFonts w:ascii="Titillium" w:hAnsi="Titillium" w:cs="Times New Roman"/>
        <w:b/>
        <w:sz w:val="20"/>
        <w:szCs w:val="20"/>
      </w:rPr>
      <w:t>/</w:t>
    </w:r>
    <w:r w:rsidR="009C05D1" w:rsidRPr="000F2C0E">
      <w:rPr>
        <w:rFonts w:ascii="Titillium" w:hAnsi="Titillium" w:cs="Times New Roman"/>
        <w:b/>
        <w:sz w:val="20"/>
        <w:szCs w:val="20"/>
      </w:rPr>
      <w:t>202</w:t>
    </w:r>
    <w:r w:rsidR="00040F20" w:rsidRPr="000F2C0E">
      <w:rPr>
        <w:rFonts w:ascii="Titillium" w:hAnsi="Titillium" w:cs="Times New Roman"/>
        <w:b/>
        <w:sz w:val="20"/>
        <w:szCs w:val="20"/>
      </w:rPr>
      <w:t>1</w:t>
    </w:r>
  </w:p>
  <w:p w14:paraId="55344583" w14:textId="77777777" w:rsidR="0085206C" w:rsidRDefault="0085206C" w:rsidP="006E496C">
    <w:pPr>
      <w:pStyle w:val="Intestazione"/>
      <w:jc w:val="right"/>
      <w:rPr>
        <w:rFonts w:ascii="Garamond" w:hAnsi="Garamond" w:cs="Times New Roman"/>
        <w:b/>
      </w:rPr>
    </w:pPr>
  </w:p>
  <w:p w14:paraId="55344584" w14:textId="77777777" w:rsidR="0085206C" w:rsidRPr="006E496C" w:rsidRDefault="0085206C" w:rsidP="006E496C">
    <w:pPr>
      <w:pStyle w:val="Intestazione"/>
      <w:jc w:val="right"/>
      <w:rPr>
        <w:rFonts w:ascii="Garamond" w:hAnsi="Garamond"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2B02D7"/>
    <w:multiLevelType w:val="multilevel"/>
    <w:tmpl w:val="562438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1" w15:restartNumberingAfterBreak="0">
    <w:nsid w:val="3E981BA1"/>
    <w:multiLevelType w:val="multilevel"/>
    <w:tmpl w:val="42B6B57E"/>
    <w:lvl w:ilvl="0">
      <w:start w:val="1"/>
      <w:numFmt w:val="none"/>
      <w:pStyle w:val="Titolo"/>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54743015"/>
    <w:multiLevelType w:val="multilevel"/>
    <w:tmpl w:val="95685400"/>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7B274FF9"/>
    <w:multiLevelType w:val="hybridMultilevel"/>
    <w:tmpl w:val="4CD022FC"/>
    <w:lvl w:ilvl="0" w:tplc="77CA1D2A">
      <w:start w:val="3"/>
      <w:numFmt w:val="bullet"/>
      <w:lvlText w:val="-"/>
      <w:lvlJc w:val="left"/>
      <w:pPr>
        <w:ind w:left="720" w:hanging="360"/>
      </w:pPr>
      <w:rPr>
        <w:rFonts w:ascii="Garamond" w:eastAsia="Times New Roman" w:hAnsi="Garamond" w:cs="Cambri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B23"/>
    <w:rsid w:val="00040F20"/>
    <w:rsid w:val="000F2C0E"/>
    <w:rsid w:val="0016468A"/>
    <w:rsid w:val="0024134D"/>
    <w:rsid w:val="002C572E"/>
    <w:rsid w:val="003E1CF5"/>
    <w:rsid w:val="0041405A"/>
    <w:rsid w:val="00416AD0"/>
    <w:rsid w:val="00444738"/>
    <w:rsid w:val="0048249A"/>
    <w:rsid w:val="004833D5"/>
    <w:rsid w:val="004F18CD"/>
    <w:rsid w:val="0060106A"/>
    <w:rsid w:val="006C7B1B"/>
    <w:rsid w:val="006E496C"/>
    <w:rsid w:val="007052EA"/>
    <w:rsid w:val="00713BFD"/>
    <w:rsid w:val="007A107C"/>
    <w:rsid w:val="00832796"/>
    <w:rsid w:val="00837860"/>
    <w:rsid w:val="0085206C"/>
    <w:rsid w:val="00861FE1"/>
    <w:rsid w:val="008A0378"/>
    <w:rsid w:val="00955140"/>
    <w:rsid w:val="009A5646"/>
    <w:rsid w:val="009C05D1"/>
    <w:rsid w:val="009C6FAC"/>
    <w:rsid w:val="00A52DF7"/>
    <w:rsid w:val="00AF790D"/>
    <w:rsid w:val="00C27B23"/>
    <w:rsid w:val="00C32BE7"/>
    <w:rsid w:val="00D25838"/>
    <w:rsid w:val="00D27496"/>
    <w:rsid w:val="00D51F13"/>
    <w:rsid w:val="00FC79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44562"/>
  <w15:docId w15:val="{56CB1834-868F-432B-9D79-8EB178F1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keepNext/>
      <w:widowControl w:val="0"/>
      <w:pBdr>
        <w:top w:val="nil"/>
        <w:left w:val="nil"/>
        <w:bottom w:val="nil"/>
        <w:right w:val="nil"/>
      </w:pBdr>
      <w:suppressAutoHyphens/>
      <w:spacing w:after="120" w:line="100" w:lineRule="atLeast"/>
      <w:jc w:val="both"/>
    </w:pPr>
    <w:rPr>
      <w:rFonts w:ascii="Times New Roman" w:eastAsia="Times New Roman" w:hAnsi="Times New Roman" w:cs="Cambria"/>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basedOn w:val="Carpredefinitoparagrafo"/>
    <w:rPr>
      <w:position w:val="22"/>
      <w:sz w:val="14"/>
    </w:rPr>
  </w:style>
  <w:style w:type="character" w:customStyle="1" w:styleId="TestonotaapidipaginaCarattere">
    <w:name w:val="Testo nota a piè di pagina Carattere"/>
    <w:basedOn w:val="Carpredefinitoparagrafo"/>
    <w:rPr>
      <w:rFonts w:ascii="Times New Roman" w:eastAsia="Times New Roman" w:hAnsi="Times New Roman" w:cs="Cambria"/>
      <w:sz w:val="20"/>
      <w:szCs w:val="20"/>
      <w:lang w:eastAsia="ar-SA"/>
    </w:rPr>
  </w:style>
  <w:style w:type="character" w:customStyle="1" w:styleId="TestonotaapidipaginaCarattere1">
    <w:name w:val="Testo nota a piè di pagina Carattere1"/>
    <w:basedOn w:val="Carpredefinitoparagrafo"/>
    <w:rPr>
      <w:rFonts w:ascii="Times New Roman" w:eastAsia="Times New Roman" w:hAnsi="Times New Roman" w:cs="Cambria"/>
      <w:sz w:val="24"/>
      <w:szCs w:val="24"/>
      <w:lang w:eastAsia="ar-SA"/>
    </w:rPr>
  </w:style>
  <w:style w:type="character" w:customStyle="1" w:styleId="TitoloCarattere">
    <w:name w:val="Titolo Carattere"/>
    <w:basedOn w:val="Carpredefinitoparagrafo"/>
    <w:rPr>
      <w:rFonts w:ascii="Times New Roman" w:eastAsia="Times New Roman" w:hAnsi="Times New Roman" w:cs="Times New Roman"/>
      <w:b/>
      <w:bCs/>
      <w:i/>
      <w:sz w:val="36"/>
      <w:szCs w:val="32"/>
      <w:lang w:eastAsia="ar-SA"/>
    </w:rPr>
  </w:style>
  <w:style w:type="character" w:customStyle="1" w:styleId="IntestazioneCarattere">
    <w:name w:val="Intestazione Carattere"/>
    <w:basedOn w:val="Carpredefinitoparagrafo"/>
    <w:rPr>
      <w:rFonts w:ascii="Times New Roman" w:eastAsia="Times New Roman" w:hAnsi="Times New Roman" w:cs="Cambria"/>
      <w:sz w:val="24"/>
      <w:szCs w:val="24"/>
      <w:lang w:eastAsia="ar-SA"/>
    </w:rPr>
  </w:style>
  <w:style w:type="character" w:customStyle="1" w:styleId="PidipaginaCarattere">
    <w:name w:val="Piè di pagina Carattere"/>
    <w:basedOn w:val="Carpredefinitoparagrafo"/>
    <w:rPr>
      <w:rFonts w:ascii="Times New Roman" w:eastAsia="Times New Roman" w:hAnsi="Times New Roman" w:cs="Cambria"/>
      <w:sz w:val="24"/>
      <w:szCs w:val="24"/>
      <w:lang w:eastAsia="ar-SA"/>
    </w:rPr>
  </w:style>
  <w:style w:type="character" w:styleId="Rimandocommento">
    <w:name w:val="annotation reference"/>
    <w:basedOn w:val="Carpredefinitoparagrafo"/>
    <w:rPr>
      <w:sz w:val="16"/>
      <w:szCs w:val="16"/>
    </w:rPr>
  </w:style>
  <w:style w:type="character" w:customStyle="1" w:styleId="TestocommentoCarattere">
    <w:name w:val="Testo commento Carattere"/>
    <w:basedOn w:val="Carpredefinitoparagrafo"/>
    <w:rPr>
      <w:rFonts w:ascii="Times New Roman" w:eastAsia="Times New Roman" w:hAnsi="Times New Roman" w:cs="Cambria"/>
      <w:sz w:val="20"/>
      <w:szCs w:val="20"/>
      <w:lang w:eastAsia="ar-SA"/>
    </w:rPr>
  </w:style>
  <w:style w:type="character" w:customStyle="1" w:styleId="SoggettocommentoCarattere">
    <w:name w:val="Soggetto commento Carattere"/>
    <w:basedOn w:val="TestocommentoCarattere"/>
    <w:rPr>
      <w:rFonts w:ascii="Times New Roman" w:eastAsia="Times New Roman" w:hAnsi="Times New Roman" w:cs="Cambria"/>
      <w:b/>
      <w:bCs/>
      <w:sz w:val="20"/>
      <w:szCs w:val="20"/>
      <w:lang w:eastAsia="ar-SA"/>
    </w:rPr>
  </w:style>
  <w:style w:type="character" w:customStyle="1" w:styleId="TestofumettoCarattere">
    <w:name w:val="Testo fumetto Carattere"/>
    <w:basedOn w:val="Carpredefinitoparagrafo"/>
    <w:rPr>
      <w:rFonts w:ascii="Tahoma" w:eastAsia="Times New Roman" w:hAnsi="Tahoma" w:cs="Tahoma"/>
      <w:sz w:val="16"/>
      <w:szCs w:val="16"/>
      <w:lang w:eastAsia="ar-SA"/>
    </w:rPr>
  </w:style>
  <w:style w:type="character" w:customStyle="1" w:styleId="WWCharLFO13LVL1">
    <w:name w:val="WW_CharLFO13LVL1"/>
    <w:rPr>
      <w:rFonts w:ascii="Times New Roman" w:eastAsia="Times New Roman" w:hAnsi="Times New Roman" w:cs="Times New Roman"/>
    </w:rPr>
  </w:style>
  <w:style w:type="character" w:customStyle="1" w:styleId="WWCharLFO13LVL2">
    <w:name w:val="WW_CharLFO13LVL2"/>
    <w:rPr>
      <w:rFonts w:ascii="Courier New" w:hAnsi="Courier New" w:cs="Courier New"/>
    </w:rPr>
  </w:style>
  <w:style w:type="character" w:customStyle="1" w:styleId="WWCharLFO13LVL3">
    <w:name w:val="WW_CharLFO13LVL3"/>
    <w:rPr>
      <w:rFonts w:ascii="Wingdings" w:hAnsi="Wingdings"/>
    </w:rPr>
  </w:style>
  <w:style w:type="character" w:customStyle="1" w:styleId="WWCharLFO13LVL4">
    <w:name w:val="WW_CharLFO13LVL4"/>
    <w:rPr>
      <w:rFonts w:ascii="Symbol" w:hAnsi="Symbol"/>
    </w:rPr>
  </w:style>
  <w:style w:type="character" w:customStyle="1" w:styleId="WWCharLFO13LVL5">
    <w:name w:val="WW_CharLFO13LVL5"/>
    <w:rPr>
      <w:rFonts w:ascii="Courier New" w:hAnsi="Courier New" w:cs="Courier New"/>
    </w:rPr>
  </w:style>
  <w:style w:type="character" w:customStyle="1" w:styleId="WWCharLFO13LVL6">
    <w:name w:val="WW_CharLFO13LVL6"/>
    <w:rPr>
      <w:rFonts w:ascii="Wingdings" w:hAnsi="Wingdings"/>
    </w:rPr>
  </w:style>
  <w:style w:type="character" w:customStyle="1" w:styleId="WWCharLFO13LVL7">
    <w:name w:val="WW_CharLFO13LVL7"/>
    <w:rPr>
      <w:rFonts w:ascii="Symbol" w:hAnsi="Symbol"/>
    </w:rPr>
  </w:style>
  <w:style w:type="character" w:customStyle="1" w:styleId="WWCharLFO13LVL8">
    <w:name w:val="WW_CharLFO13LVL8"/>
    <w:rPr>
      <w:rFonts w:ascii="Courier New" w:hAnsi="Courier New" w:cs="Courier New"/>
    </w:rPr>
  </w:style>
  <w:style w:type="character" w:customStyle="1" w:styleId="WWCharLFO13LVL9">
    <w:name w:val="WW_CharLFO13LVL9"/>
    <w:rPr>
      <w:rFonts w:ascii="Wingdings" w:hAnsi="Wingdings"/>
    </w:rPr>
  </w:style>
  <w:style w:type="character" w:customStyle="1" w:styleId="WWCharLFO15LVL1">
    <w:name w:val="WW_CharLFO15LVL1"/>
    <w:rPr>
      <w:rFonts w:ascii="Times New Roman" w:eastAsia="Calibri" w:hAnsi="Times New Roman" w:cs="Times New Roman"/>
      <w:sz w:val="20"/>
    </w:rPr>
  </w:style>
  <w:style w:type="character" w:customStyle="1" w:styleId="WWCharLFO15LVL2">
    <w:name w:val="WW_CharLFO15LVL2"/>
    <w:rPr>
      <w:rFonts w:ascii="Courier New" w:hAnsi="Courier New" w:cs="Courier New"/>
    </w:rPr>
  </w:style>
  <w:style w:type="character" w:customStyle="1" w:styleId="WWCharLFO15LVL3">
    <w:name w:val="WW_CharLFO15LVL3"/>
    <w:rPr>
      <w:rFonts w:ascii="Wingdings" w:hAnsi="Wingdings"/>
    </w:rPr>
  </w:style>
  <w:style w:type="character" w:customStyle="1" w:styleId="WWCharLFO15LVL4">
    <w:name w:val="WW_CharLFO15LVL4"/>
    <w:rPr>
      <w:rFonts w:ascii="Symbol" w:hAnsi="Symbol"/>
    </w:rPr>
  </w:style>
  <w:style w:type="character" w:customStyle="1" w:styleId="WWCharLFO15LVL5">
    <w:name w:val="WW_CharLFO15LVL5"/>
    <w:rPr>
      <w:rFonts w:ascii="Courier New" w:hAnsi="Courier New" w:cs="Courier New"/>
    </w:rPr>
  </w:style>
  <w:style w:type="character" w:customStyle="1" w:styleId="WWCharLFO15LVL6">
    <w:name w:val="WW_CharLFO15LVL6"/>
    <w:rPr>
      <w:rFonts w:ascii="Wingdings" w:hAnsi="Wingdings"/>
    </w:rPr>
  </w:style>
  <w:style w:type="character" w:customStyle="1" w:styleId="WWCharLFO15LVL7">
    <w:name w:val="WW_CharLFO15LVL7"/>
    <w:rPr>
      <w:rFonts w:ascii="Symbol" w:hAnsi="Symbol"/>
    </w:rPr>
  </w:style>
  <w:style w:type="character" w:customStyle="1" w:styleId="WWCharLFO15LVL8">
    <w:name w:val="WW_CharLFO15LVL8"/>
    <w:rPr>
      <w:rFonts w:ascii="Courier New" w:hAnsi="Courier New" w:cs="Courier New"/>
    </w:rPr>
  </w:style>
  <w:style w:type="character" w:customStyle="1" w:styleId="WWCharLFO15LVL9">
    <w:name w:val="WW_CharLFO15LVL9"/>
    <w:rPr>
      <w:rFonts w:ascii="Wingdings" w:hAnsi="Wingdings"/>
    </w:rPr>
  </w:style>
  <w:style w:type="character" w:customStyle="1" w:styleId="Caratteredellanota">
    <w:name w:val="Carattere della nota"/>
  </w:style>
  <w:style w:type="paragraph" w:styleId="Testonotaapidipagina">
    <w:name w:val="footnote text"/>
    <w:basedOn w:val="Normale"/>
  </w:style>
  <w:style w:type="paragraph" w:styleId="Paragrafoelenco">
    <w:name w:val="List Paragraph"/>
    <w:basedOn w:val="Normale"/>
    <w:pPr>
      <w:ind w:left="357" w:hanging="357"/>
    </w:pPr>
  </w:style>
  <w:style w:type="paragraph" w:styleId="Titolo">
    <w:name w:val="Title"/>
    <w:basedOn w:val="Normale"/>
    <w:next w:val="Normale"/>
    <w:autoRedefine/>
    <w:pPr>
      <w:numPr>
        <w:numId w:val="1"/>
      </w:numPr>
      <w:spacing w:before="240" w:after="240"/>
      <w:jc w:val="center"/>
      <w:outlineLvl w:val="0"/>
    </w:pPr>
    <w:rPr>
      <w:rFonts w:cs="Times New Roman"/>
      <w:b/>
      <w:bCs/>
      <w:i/>
      <w:sz w:val="36"/>
      <w:szCs w:val="32"/>
    </w:rPr>
  </w:style>
  <w:style w:type="paragraph" w:customStyle="1" w:styleId="Corpodeltesto">
    <w:name w:val="Corpo del testo"/>
    <w:basedOn w:val="Normale"/>
  </w:style>
  <w:style w:type="paragraph" w:styleId="Intestazione">
    <w:name w:val="header"/>
    <w:basedOn w:val="Normale"/>
    <w:pPr>
      <w:tabs>
        <w:tab w:val="center" w:pos="4819"/>
        <w:tab w:val="right" w:pos="9638"/>
      </w:tabs>
      <w:spacing w:after="0"/>
    </w:pPr>
  </w:style>
  <w:style w:type="paragraph" w:styleId="Pidipagina">
    <w:name w:val="footer"/>
    <w:basedOn w:val="Normale"/>
    <w:pPr>
      <w:tabs>
        <w:tab w:val="center" w:pos="4819"/>
        <w:tab w:val="right" w:pos="9638"/>
      </w:tabs>
      <w:spacing w:after="0"/>
    </w:pPr>
  </w:style>
  <w:style w:type="paragraph" w:customStyle="1" w:styleId="Default">
    <w:name w:val="Default"/>
    <w:pPr>
      <w:keepNext/>
      <w:pBdr>
        <w:top w:val="nil"/>
        <w:left w:val="nil"/>
        <w:bottom w:val="nil"/>
        <w:right w:val="nil"/>
      </w:pBdr>
      <w:suppressAutoHyphens/>
      <w:autoSpaceDE w:val="0"/>
      <w:spacing w:after="0" w:line="100" w:lineRule="atLeast"/>
    </w:pPr>
    <w:rPr>
      <w:rFonts w:ascii="Times New Roman" w:eastAsia="Calibri" w:hAnsi="Times New Roman" w:cs="Times New Roman"/>
      <w:color w:val="000000"/>
      <w:sz w:val="24"/>
      <w:szCs w:val="24"/>
      <w:lang w:eastAsia="en-US"/>
    </w:rPr>
  </w:style>
  <w:style w:type="paragraph" w:styleId="Testocommento">
    <w:name w:val="annotation text"/>
    <w:basedOn w:val="Normale"/>
    <w:rPr>
      <w:sz w:val="20"/>
      <w:szCs w:val="20"/>
    </w:rPr>
  </w:style>
  <w:style w:type="paragraph" w:styleId="Soggettocommento">
    <w:name w:val="annotation subject"/>
    <w:basedOn w:val="Testocommento"/>
    <w:next w:val="Testocommento"/>
    <w:rPr>
      <w:b/>
      <w:bCs/>
    </w:rPr>
  </w:style>
  <w:style w:type="paragraph" w:styleId="Testofumetto">
    <w:name w:val="Balloon Text"/>
    <w:basedOn w:val="Normale"/>
    <w:pPr>
      <w:spacing w:after="0"/>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568</Words>
  <Characters>3243</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i.siciliani</dc:creator>
  <cp:lastModifiedBy>Russoniello Rosanna</cp:lastModifiedBy>
  <cp:revision>5</cp:revision>
  <cp:lastPrinted>2018-02-28T15:30:00Z</cp:lastPrinted>
  <dcterms:created xsi:type="dcterms:W3CDTF">2021-06-15T07:42:00Z</dcterms:created>
  <dcterms:modified xsi:type="dcterms:W3CDTF">2021-06-18T09:57:00Z</dcterms:modified>
</cp:coreProperties>
</file>