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E334F" w14:textId="12030D22" w:rsidR="0098339C" w:rsidRPr="005D47F8" w:rsidRDefault="004B48CD" w:rsidP="003A6687">
      <w:pPr>
        <w:shd w:val="clear" w:color="auto" w:fill="FFFFFF"/>
        <w:spacing w:after="100" w:afterAutospacing="1" w:line="276" w:lineRule="auto"/>
        <w:contextualSpacing/>
        <w:jc w:val="center"/>
        <w:rPr>
          <w:rFonts w:ascii="Garamond" w:hAnsi="Garamond" w:cstheme="minorHAnsi"/>
          <w:b/>
          <w:bCs/>
          <w:color w:val="000000"/>
          <w:sz w:val="24"/>
          <w:szCs w:val="24"/>
          <w:lang w:eastAsia="it-IT"/>
        </w:rPr>
      </w:pPr>
      <w:bookmarkStart w:id="0" w:name="_GoBack"/>
      <w:bookmarkEnd w:id="0"/>
      <w:r w:rsidRPr="005D47F8">
        <w:rPr>
          <w:rFonts w:ascii="Garamond" w:hAnsi="Garamond" w:cstheme="minorHAnsi"/>
          <w:b/>
          <w:bCs/>
          <w:color w:val="000000"/>
          <w:sz w:val="24"/>
          <w:szCs w:val="24"/>
          <w:lang w:eastAsia="it-IT"/>
        </w:rPr>
        <w:t>Incentivo</w:t>
      </w:r>
      <w:r w:rsidR="003F0B09" w:rsidRPr="005D47F8">
        <w:rPr>
          <w:rFonts w:ascii="Garamond" w:hAnsi="Garamond" w:cstheme="minorHAnsi"/>
          <w:b/>
          <w:bCs/>
          <w:color w:val="000000"/>
          <w:sz w:val="24"/>
          <w:szCs w:val="24"/>
          <w:lang w:eastAsia="it-IT"/>
        </w:rPr>
        <w:t xml:space="preserve"> IO</w:t>
      </w:r>
      <w:r w:rsidR="000011DF" w:rsidRPr="005D47F8">
        <w:rPr>
          <w:rFonts w:ascii="Garamond" w:hAnsi="Garamond" w:cstheme="minorHAnsi"/>
          <w:b/>
          <w:bCs/>
          <w:color w:val="000000"/>
          <w:sz w:val="24"/>
          <w:szCs w:val="24"/>
          <w:lang w:eastAsia="it-IT"/>
        </w:rPr>
        <w:t xml:space="preserve"> </w:t>
      </w:r>
      <w:r w:rsidR="003F0B09" w:rsidRPr="005D47F8">
        <w:rPr>
          <w:rFonts w:ascii="Garamond" w:hAnsi="Garamond" w:cstheme="minorHAnsi"/>
          <w:b/>
          <w:bCs/>
          <w:color w:val="000000"/>
          <w:sz w:val="24"/>
          <w:szCs w:val="24"/>
          <w:lang w:eastAsia="it-IT"/>
        </w:rPr>
        <w:t>Lavoro</w:t>
      </w:r>
    </w:p>
    <w:p w14:paraId="57B3191E" w14:textId="77777777" w:rsidR="00593212" w:rsidRPr="005D47F8" w:rsidRDefault="00593212" w:rsidP="003F0B09">
      <w:pPr>
        <w:shd w:val="clear" w:color="auto" w:fill="FFFFFF"/>
        <w:spacing w:after="100" w:afterAutospacing="1" w:line="276" w:lineRule="auto"/>
        <w:contextualSpacing/>
        <w:jc w:val="both"/>
        <w:rPr>
          <w:rFonts w:ascii="Garamond" w:hAnsi="Garamond" w:cstheme="minorHAnsi"/>
          <w:bCs/>
          <w:color w:val="000000"/>
          <w:sz w:val="24"/>
          <w:szCs w:val="24"/>
          <w:lang w:eastAsia="it-IT"/>
        </w:rPr>
      </w:pPr>
    </w:p>
    <w:p w14:paraId="45BD9043" w14:textId="77777777" w:rsidR="005D47F8" w:rsidRDefault="005D47F8" w:rsidP="005D47F8">
      <w:pPr>
        <w:pStyle w:val="Heading2"/>
        <w:ind w:left="426"/>
      </w:pPr>
      <w:bookmarkStart w:id="1" w:name="_Toc27760559"/>
      <w:r>
        <w:t xml:space="preserve">Quadro </w:t>
      </w:r>
      <w:bookmarkEnd w:id="1"/>
      <w:r>
        <w:t>generale e risorse impegnate.</w:t>
      </w:r>
    </w:p>
    <w:p w14:paraId="64561ABD" w14:textId="341673DA" w:rsidR="002C39B6" w:rsidRPr="005D47F8" w:rsidRDefault="002C39B6" w:rsidP="005D47F8">
      <w:pPr>
        <w:spacing w:line="276" w:lineRule="auto"/>
        <w:rPr>
          <w:rFonts w:ascii="Garamond" w:hAnsi="Garamond" w:cs="Garamond"/>
          <w:color w:val="000000"/>
          <w:sz w:val="24"/>
          <w:szCs w:val="24"/>
        </w:rPr>
      </w:pPr>
      <w:proofErr w:type="spellStart"/>
      <w:r w:rsidRPr="005D47F8">
        <w:rPr>
          <w:rFonts w:ascii="Garamond" w:hAnsi="Garamond"/>
          <w:sz w:val="24"/>
          <w:szCs w:val="24"/>
        </w:rPr>
        <w:t>L’IncentivO</w:t>
      </w:r>
      <w:proofErr w:type="spellEnd"/>
      <w:r w:rsidRPr="005D47F8">
        <w:rPr>
          <w:rFonts w:ascii="Garamond" w:hAnsi="Garamond"/>
          <w:sz w:val="24"/>
          <w:szCs w:val="24"/>
        </w:rPr>
        <w:t xml:space="preserve"> Lavoro (IO Lavoro) è stato istituito con Decreto Direttoriale n. 52 del</w:t>
      </w:r>
      <w:r w:rsidR="005D47F8">
        <w:rPr>
          <w:rFonts w:ascii="Garamond" w:hAnsi="Garamond"/>
          <w:sz w:val="24"/>
          <w:szCs w:val="24"/>
        </w:rPr>
        <w:t>l’</w:t>
      </w:r>
      <w:r w:rsidRPr="005D47F8">
        <w:rPr>
          <w:rFonts w:ascii="Garamond" w:hAnsi="Garamond"/>
          <w:sz w:val="24"/>
          <w:szCs w:val="24"/>
        </w:rPr>
        <w:t xml:space="preserve">11 febbraio </w:t>
      </w:r>
      <w:r w:rsidR="005D47F8" w:rsidRPr="005D47F8">
        <w:rPr>
          <w:rFonts w:ascii="Garamond" w:hAnsi="Garamond"/>
          <w:sz w:val="24"/>
          <w:szCs w:val="24"/>
        </w:rPr>
        <w:t>2020 che impegna una s</w:t>
      </w:r>
      <w:r w:rsidRPr="005D47F8">
        <w:rPr>
          <w:rFonts w:ascii="Garamond" w:hAnsi="Garamond" w:cs="Garamond"/>
          <w:color w:val="000000"/>
          <w:sz w:val="24"/>
          <w:szCs w:val="24"/>
        </w:rPr>
        <w:t xml:space="preserve">pesa complessivamente pari a euro </w:t>
      </w:r>
      <w:r w:rsidRPr="005D47F8">
        <w:rPr>
          <w:rFonts w:ascii="Garamond" w:hAnsi="Garamond" w:cs="Garamond"/>
          <w:b/>
          <w:bCs/>
          <w:color w:val="000000"/>
          <w:sz w:val="24"/>
          <w:szCs w:val="24"/>
        </w:rPr>
        <w:t>329.400.000,00</w:t>
      </w:r>
      <w:r w:rsidRPr="005D47F8">
        <w:rPr>
          <w:rFonts w:ascii="Garamond" w:hAnsi="Garamond" w:cs="Garamond"/>
          <w:color w:val="000000"/>
          <w:sz w:val="24"/>
          <w:szCs w:val="24"/>
        </w:rPr>
        <w:t>, di cui:</w:t>
      </w:r>
      <w:r w:rsidRPr="005D47F8">
        <w:rPr>
          <w:rFonts w:ascii="Garamond" w:hAnsi="Garamond" w:cs="Garamond"/>
          <w:b/>
          <w:bCs/>
          <w:color w:val="000000"/>
          <w:sz w:val="24"/>
          <w:szCs w:val="24"/>
        </w:rPr>
        <w:t xml:space="preserve"> </w:t>
      </w:r>
    </w:p>
    <w:p w14:paraId="38204914" w14:textId="77777777" w:rsidR="005D47F8" w:rsidRPr="005D47F8" w:rsidRDefault="005D47F8" w:rsidP="002C39B6">
      <w:pPr>
        <w:pStyle w:val="ListParagraph"/>
        <w:numPr>
          <w:ilvl w:val="0"/>
          <w:numId w:val="8"/>
        </w:numPr>
        <w:autoSpaceDE w:val="0"/>
        <w:autoSpaceDN w:val="0"/>
        <w:adjustRightInd w:val="0"/>
        <w:spacing w:after="0" w:line="276" w:lineRule="auto"/>
        <w:jc w:val="both"/>
        <w:rPr>
          <w:rFonts w:ascii="Garamond" w:hAnsi="Garamond" w:cs="Garamond"/>
          <w:color w:val="000000"/>
          <w:sz w:val="24"/>
          <w:szCs w:val="24"/>
        </w:rPr>
      </w:pPr>
      <w:r w:rsidRPr="005D47F8">
        <w:rPr>
          <w:rFonts w:ascii="Garamond" w:hAnsi="Garamond"/>
          <w:b/>
          <w:bCs/>
          <w:sz w:val="24"/>
          <w:szCs w:val="24"/>
        </w:rPr>
        <w:t>234.000.000,00</w:t>
      </w:r>
      <w:r w:rsidRPr="005D47F8">
        <w:rPr>
          <w:rFonts w:ascii="Garamond" w:hAnsi="Garamond"/>
          <w:sz w:val="24"/>
          <w:szCs w:val="24"/>
        </w:rPr>
        <w:t xml:space="preserve"> euro a valere sull’Asse 1, priorità di investimento 8.i, categoria di regioni “meno sviluppate” del Programma operativo nazionale “Sistemi di Politiche Attive per l’Occupazione” (SPAO); </w:t>
      </w:r>
    </w:p>
    <w:p w14:paraId="564CA11F" w14:textId="0444CEC4" w:rsidR="002C39B6" w:rsidRPr="005D47F8" w:rsidRDefault="005D47F8" w:rsidP="002C39B6">
      <w:pPr>
        <w:pStyle w:val="ListParagraph"/>
        <w:numPr>
          <w:ilvl w:val="0"/>
          <w:numId w:val="8"/>
        </w:numPr>
        <w:autoSpaceDE w:val="0"/>
        <w:autoSpaceDN w:val="0"/>
        <w:adjustRightInd w:val="0"/>
        <w:spacing w:after="0" w:line="276" w:lineRule="auto"/>
        <w:jc w:val="both"/>
        <w:rPr>
          <w:rFonts w:ascii="Garamond" w:hAnsi="Garamond" w:cs="Garamond"/>
          <w:color w:val="000000"/>
          <w:sz w:val="24"/>
          <w:szCs w:val="24"/>
        </w:rPr>
      </w:pPr>
      <w:r w:rsidRPr="005D47F8">
        <w:rPr>
          <w:rFonts w:ascii="Garamond" w:hAnsi="Garamond"/>
          <w:b/>
          <w:bCs/>
          <w:sz w:val="24"/>
          <w:szCs w:val="24"/>
        </w:rPr>
        <w:t>12.400.000,00</w:t>
      </w:r>
      <w:r w:rsidRPr="005D47F8">
        <w:rPr>
          <w:rFonts w:ascii="Garamond" w:hAnsi="Garamond"/>
          <w:sz w:val="24"/>
          <w:szCs w:val="24"/>
        </w:rPr>
        <w:t xml:space="preserve"> euro a valere sull’Asse 1, priorità di investimento 8.i, categoria di regioni “più sviluppate” del Programma operativo nazionale “Sistemi di Politiche Attive per l’Occupazione” (SPAO);</w:t>
      </w:r>
    </w:p>
    <w:p w14:paraId="2560E337" w14:textId="5D70A603" w:rsidR="005D47F8" w:rsidRPr="005D47F8" w:rsidRDefault="002C39B6" w:rsidP="005D47F8">
      <w:pPr>
        <w:pStyle w:val="ListParagraph"/>
        <w:numPr>
          <w:ilvl w:val="0"/>
          <w:numId w:val="8"/>
        </w:numPr>
        <w:shd w:val="clear" w:color="auto" w:fill="FFFFFF"/>
        <w:autoSpaceDE w:val="0"/>
        <w:autoSpaceDN w:val="0"/>
        <w:adjustRightInd w:val="0"/>
        <w:spacing w:after="100" w:afterAutospacing="1" w:line="276" w:lineRule="auto"/>
        <w:jc w:val="both"/>
        <w:rPr>
          <w:rFonts w:ascii="Garamond" w:hAnsi="Garamond" w:cstheme="minorHAnsi"/>
          <w:bCs/>
          <w:color w:val="000000"/>
          <w:sz w:val="24"/>
          <w:szCs w:val="24"/>
          <w:lang w:eastAsia="it-IT"/>
        </w:rPr>
      </w:pPr>
      <w:r w:rsidRPr="005D47F8">
        <w:rPr>
          <w:rFonts w:ascii="Garamond" w:hAnsi="Garamond" w:cs="Garamond"/>
          <w:b/>
          <w:bCs/>
          <w:color w:val="000000"/>
          <w:sz w:val="24"/>
          <w:szCs w:val="24"/>
        </w:rPr>
        <w:t>83.000.000,00</w:t>
      </w:r>
      <w:r w:rsidRPr="005D47F8">
        <w:rPr>
          <w:rFonts w:ascii="Garamond" w:hAnsi="Garamond" w:cs="Garamond"/>
          <w:color w:val="000000"/>
          <w:sz w:val="24"/>
          <w:szCs w:val="24"/>
        </w:rPr>
        <w:t xml:space="preserve"> euro </w:t>
      </w:r>
      <w:proofErr w:type="spellStart"/>
      <w:r w:rsidR="005D47F8" w:rsidRPr="005D47F8">
        <w:rPr>
          <w:rFonts w:ascii="Garamond" w:hAnsi="Garamond"/>
          <w:sz w:val="24"/>
          <w:szCs w:val="24"/>
        </w:rPr>
        <w:t>euro</w:t>
      </w:r>
      <w:proofErr w:type="spellEnd"/>
      <w:r w:rsidR="005D47F8" w:rsidRPr="005D47F8">
        <w:rPr>
          <w:rFonts w:ascii="Garamond" w:hAnsi="Garamond"/>
          <w:sz w:val="24"/>
          <w:szCs w:val="24"/>
        </w:rPr>
        <w:t xml:space="preserve"> a valere sull’Asse 1, priorità di investimento 8.i, del Programma Operativo Complementare “Sistemi di Politiche Attive per l’Occupazione" 2014 – 2020 (POC SPAO) categoria di regioni “meno sviluppate” e “in transizione”</w:t>
      </w:r>
      <w:r w:rsidR="005D47F8">
        <w:rPr>
          <w:rFonts w:ascii="Garamond" w:hAnsi="Garamond"/>
          <w:sz w:val="24"/>
          <w:szCs w:val="24"/>
        </w:rPr>
        <w:t>.</w:t>
      </w:r>
    </w:p>
    <w:p w14:paraId="459DB30E" w14:textId="3E72D84E" w:rsidR="005D47F8" w:rsidRDefault="005D47F8" w:rsidP="005D47F8">
      <w:pPr>
        <w:shd w:val="clear" w:color="auto" w:fill="FFFFFF"/>
        <w:autoSpaceDE w:val="0"/>
        <w:autoSpaceDN w:val="0"/>
        <w:adjustRightInd w:val="0"/>
        <w:spacing w:after="100" w:afterAutospacing="1" w:line="276" w:lineRule="auto"/>
        <w:jc w:val="both"/>
        <w:rPr>
          <w:rFonts w:ascii="Garamond" w:hAnsi="Garamond" w:cstheme="minorHAnsi"/>
          <w:bCs/>
          <w:color w:val="000000"/>
          <w:sz w:val="24"/>
          <w:szCs w:val="24"/>
          <w:lang w:eastAsia="it-IT"/>
        </w:rPr>
      </w:pPr>
      <w:r>
        <w:rPr>
          <w:rFonts w:ascii="Garamond" w:hAnsi="Garamond" w:cstheme="minorHAnsi"/>
          <w:bCs/>
          <w:color w:val="000000"/>
          <w:sz w:val="24"/>
          <w:szCs w:val="24"/>
          <w:lang w:eastAsia="it-IT"/>
        </w:rPr>
        <w:t>L’attuazione dell’incentivo è affidata all’INPS, in qualità di Organismo Intermedio.</w:t>
      </w:r>
    </w:p>
    <w:p w14:paraId="56E110A3" w14:textId="35BEA6C8" w:rsidR="005D47F8" w:rsidRPr="005D47F8" w:rsidRDefault="005D47F8" w:rsidP="005D47F8">
      <w:pPr>
        <w:shd w:val="clear" w:color="auto" w:fill="FFFFFF"/>
        <w:autoSpaceDE w:val="0"/>
        <w:autoSpaceDN w:val="0"/>
        <w:adjustRightInd w:val="0"/>
        <w:spacing w:after="100" w:afterAutospacing="1" w:line="276" w:lineRule="auto"/>
        <w:jc w:val="both"/>
        <w:rPr>
          <w:rFonts w:ascii="Garamond" w:hAnsi="Garamond" w:cstheme="minorHAnsi"/>
          <w:bCs/>
          <w:color w:val="000000"/>
          <w:sz w:val="24"/>
          <w:szCs w:val="24"/>
          <w:lang w:eastAsia="it-IT"/>
        </w:rPr>
      </w:pPr>
      <w:r w:rsidRPr="005D47F8">
        <w:rPr>
          <w:rFonts w:ascii="Garamond" w:hAnsi="Garamond" w:cstheme="minorHAnsi"/>
          <w:bCs/>
          <w:color w:val="000000"/>
          <w:sz w:val="24"/>
          <w:szCs w:val="24"/>
          <w:lang w:eastAsia="it-IT"/>
        </w:rPr>
        <w:t>Con il D.D. 66 del 21 febbraio 2020 la cumulabilità dell’incentivo è estesa al</w:t>
      </w:r>
      <w:r w:rsidR="001A5A50">
        <w:rPr>
          <w:rFonts w:ascii="Garamond" w:hAnsi="Garamond" w:cstheme="minorHAnsi"/>
          <w:bCs/>
          <w:color w:val="000000"/>
          <w:sz w:val="24"/>
          <w:szCs w:val="24"/>
          <w:lang w:eastAsia="it-IT"/>
        </w:rPr>
        <w:t>l</w:t>
      </w:r>
      <w:r w:rsidRPr="005D47F8">
        <w:rPr>
          <w:rFonts w:ascii="Garamond" w:hAnsi="Garamond"/>
          <w:sz w:val="24"/>
          <w:szCs w:val="24"/>
        </w:rPr>
        <w:t>’esonero volto all’assunzione stabile di giovani fino a trentacinque anni di età, previsto dall’articolo 1, comma 100 e seguenti, della legge 27 dicembre 2017, n. 205 (legge di bilancio 2018), come modificato dall’articolo 1, comma 10, della legge 27 dicembre 2019, n. 160 (legge di bilancio 2020), nel limite massimo di un importo pari a 8.060 euro su base annua.</w:t>
      </w:r>
    </w:p>
    <w:p w14:paraId="431C49DC" w14:textId="77777777" w:rsidR="001A5A50" w:rsidRDefault="001A5A50" w:rsidP="001A5A50">
      <w:pPr>
        <w:pStyle w:val="Heading2"/>
        <w:ind w:left="426"/>
      </w:pPr>
      <w:r>
        <w:t>Destinatari</w:t>
      </w:r>
    </w:p>
    <w:p w14:paraId="4CA01CD0" w14:textId="6C19E918" w:rsidR="001A5A50" w:rsidRPr="001A5A50" w:rsidRDefault="003A6687" w:rsidP="001A5A50">
      <w:pPr>
        <w:shd w:val="clear" w:color="auto" w:fill="FFFFFF"/>
        <w:autoSpaceDE w:val="0"/>
        <w:autoSpaceDN w:val="0"/>
        <w:adjustRightInd w:val="0"/>
        <w:spacing w:after="0" w:line="276" w:lineRule="auto"/>
        <w:jc w:val="both"/>
        <w:rPr>
          <w:rFonts w:ascii="Garamond" w:hAnsi="Garamond" w:cstheme="minorHAnsi"/>
          <w:bCs/>
          <w:color w:val="000000"/>
          <w:sz w:val="24"/>
          <w:szCs w:val="24"/>
          <w:lang w:eastAsia="it-IT"/>
        </w:rPr>
      </w:pPr>
      <w:r w:rsidRPr="001A5A50">
        <w:rPr>
          <w:rFonts w:ascii="Garamond" w:hAnsi="Garamond" w:cstheme="minorHAnsi"/>
          <w:bCs/>
          <w:color w:val="000000"/>
          <w:sz w:val="24"/>
          <w:szCs w:val="24"/>
          <w:lang w:eastAsia="it-IT"/>
        </w:rPr>
        <w:t xml:space="preserve">È un </w:t>
      </w:r>
      <w:r w:rsidR="00307013" w:rsidRPr="001A5A50">
        <w:rPr>
          <w:rFonts w:ascii="Garamond" w:hAnsi="Garamond" w:cstheme="minorHAnsi"/>
          <w:bCs/>
          <w:color w:val="000000"/>
          <w:sz w:val="24"/>
          <w:szCs w:val="24"/>
          <w:lang w:eastAsia="it-IT"/>
        </w:rPr>
        <w:t xml:space="preserve">incentivo </w:t>
      </w:r>
      <w:r w:rsidRPr="001A5A50">
        <w:rPr>
          <w:rFonts w:ascii="Garamond" w:hAnsi="Garamond" w:cstheme="minorHAnsi"/>
          <w:bCs/>
          <w:color w:val="000000"/>
          <w:sz w:val="24"/>
          <w:szCs w:val="24"/>
          <w:lang w:eastAsia="it-IT"/>
        </w:rPr>
        <w:t>che</w:t>
      </w:r>
      <w:r w:rsidR="00FD7738" w:rsidRPr="001A5A50">
        <w:rPr>
          <w:rFonts w:ascii="Garamond" w:hAnsi="Garamond" w:cstheme="minorHAnsi"/>
          <w:bCs/>
          <w:color w:val="000000"/>
          <w:sz w:val="24"/>
          <w:szCs w:val="24"/>
          <w:lang w:eastAsia="it-IT"/>
        </w:rPr>
        <w:t xml:space="preserve"> </w:t>
      </w:r>
      <w:r w:rsidR="003477AD" w:rsidRPr="001A5A50">
        <w:rPr>
          <w:rFonts w:ascii="Garamond" w:hAnsi="Garamond" w:cstheme="minorHAnsi"/>
          <w:bCs/>
          <w:color w:val="000000"/>
          <w:sz w:val="24"/>
          <w:szCs w:val="24"/>
          <w:lang w:eastAsia="it-IT"/>
        </w:rPr>
        <w:t xml:space="preserve">spetta </w:t>
      </w:r>
      <w:r w:rsidR="001A5A50" w:rsidRPr="001A5A50">
        <w:rPr>
          <w:rFonts w:ascii="Garamond" w:hAnsi="Garamond" w:cstheme="minorHAnsi"/>
          <w:bCs/>
          <w:color w:val="000000"/>
          <w:sz w:val="24"/>
          <w:szCs w:val="24"/>
          <w:lang w:eastAsia="it-IT"/>
        </w:rPr>
        <w:t>ai datori di lavoro privati per l’</w:t>
      </w:r>
      <w:r w:rsidR="00307013" w:rsidRPr="001A5A50">
        <w:rPr>
          <w:rFonts w:ascii="Garamond" w:hAnsi="Garamond" w:cstheme="minorHAnsi"/>
          <w:bCs/>
          <w:color w:val="000000"/>
          <w:sz w:val="24"/>
          <w:szCs w:val="24"/>
          <w:lang w:eastAsia="it-IT"/>
        </w:rPr>
        <w:t>assunzion</w:t>
      </w:r>
      <w:r w:rsidR="001A5A50" w:rsidRPr="001A5A50">
        <w:rPr>
          <w:rFonts w:ascii="Garamond" w:hAnsi="Garamond" w:cstheme="minorHAnsi"/>
          <w:bCs/>
          <w:color w:val="000000"/>
          <w:sz w:val="24"/>
          <w:szCs w:val="24"/>
          <w:lang w:eastAsia="it-IT"/>
        </w:rPr>
        <w:t>e</w:t>
      </w:r>
      <w:r w:rsidR="00307013" w:rsidRPr="001A5A50">
        <w:rPr>
          <w:rFonts w:ascii="Garamond" w:hAnsi="Garamond" w:cstheme="minorHAnsi"/>
          <w:bCs/>
          <w:color w:val="000000"/>
          <w:sz w:val="24"/>
          <w:szCs w:val="24"/>
          <w:lang w:eastAsia="it-IT"/>
        </w:rPr>
        <w:t xml:space="preserve"> </w:t>
      </w:r>
      <w:r w:rsidR="00DB79CC" w:rsidRPr="001A5A50">
        <w:rPr>
          <w:rFonts w:ascii="Garamond" w:hAnsi="Garamond" w:cstheme="minorHAnsi"/>
          <w:bCs/>
          <w:color w:val="000000"/>
          <w:sz w:val="24"/>
          <w:szCs w:val="24"/>
          <w:lang w:eastAsia="it-IT"/>
        </w:rPr>
        <w:t xml:space="preserve">di </w:t>
      </w:r>
      <w:r w:rsidR="001A5A50" w:rsidRPr="001A5A50">
        <w:rPr>
          <w:rFonts w:ascii="Garamond" w:hAnsi="Garamond" w:cstheme="minorHAnsi"/>
          <w:bCs/>
          <w:color w:val="000000"/>
          <w:sz w:val="24"/>
          <w:szCs w:val="24"/>
          <w:lang w:eastAsia="it-IT"/>
        </w:rPr>
        <w:t>persone</w:t>
      </w:r>
      <w:r w:rsidR="00DB79CC" w:rsidRPr="001A5A50">
        <w:rPr>
          <w:rFonts w:ascii="Garamond" w:hAnsi="Garamond" w:cstheme="minorHAnsi"/>
          <w:bCs/>
          <w:color w:val="000000"/>
          <w:sz w:val="24"/>
          <w:szCs w:val="24"/>
          <w:lang w:eastAsia="it-IT"/>
        </w:rPr>
        <w:t xml:space="preserve"> disoccupat</w:t>
      </w:r>
      <w:r w:rsidR="001A5A50" w:rsidRPr="001A5A50">
        <w:rPr>
          <w:rFonts w:ascii="Garamond" w:hAnsi="Garamond" w:cstheme="minorHAnsi"/>
          <w:bCs/>
          <w:color w:val="000000"/>
          <w:sz w:val="24"/>
          <w:szCs w:val="24"/>
          <w:lang w:eastAsia="it-IT"/>
        </w:rPr>
        <w:t>e</w:t>
      </w:r>
      <w:r w:rsidR="00DB79CC" w:rsidRPr="001A5A50">
        <w:rPr>
          <w:rFonts w:ascii="Garamond" w:hAnsi="Garamond" w:cstheme="minorHAnsi"/>
          <w:bCs/>
          <w:color w:val="000000"/>
          <w:sz w:val="24"/>
          <w:szCs w:val="24"/>
          <w:lang w:eastAsia="it-IT"/>
        </w:rPr>
        <w:t xml:space="preserve"> </w:t>
      </w:r>
      <w:r w:rsidR="001A5A50" w:rsidRPr="001A5A50">
        <w:rPr>
          <w:rFonts w:ascii="Garamond" w:hAnsi="Garamond"/>
          <w:sz w:val="24"/>
          <w:szCs w:val="24"/>
        </w:rPr>
        <w:t xml:space="preserve">ai sensi dell’articolo 19 del D. lgs. n 150/2015, dell’art 4, comma 15 quater del </w:t>
      </w:r>
      <w:proofErr w:type="gramStart"/>
      <w:r w:rsidR="001A5A50" w:rsidRPr="001A5A50">
        <w:rPr>
          <w:rFonts w:ascii="Garamond" w:hAnsi="Garamond"/>
          <w:sz w:val="24"/>
          <w:szCs w:val="24"/>
        </w:rPr>
        <w:t>Decreto</w:t>
      </w:r>
      <w:r w:rsidR="001A5A50">
        <w:rPr>
          <w:rFonts w:ascii="Garamond" w:hAnsi="Garamond"/>
          <w:sz w:val="24"/>
          <w:szCs w:val="24"/>
        </w:rPr>
        <w:t xml:space="preserve"> </w:t>
      </w:r>
      <w:r w:rsidR="001A5A50" w:rsidRPr="001A5A50">
        <w:rPr>
          <w:rFonts w:ascii="Garamond" w:hAnsi="Garamond"/>
          <w:sz w:val="24"/>
          <w:szCs w:val="24"/>
        </w:rPr>
        <w:t>Legge</w:t>
      </w:r>
      <w:proofErr w:type="gramEnd"/>
      <w:r w:rsidR="001A5A50" w:rsidRPr="001A5A50">
        <w:rPr>
          <w:rFonts w:ascii="Garamond" w:hAnsi="Garamond"/>
          <w:sz w:val="24"/>
          <w:szCs w:val="24"/>
        </w:rPr>
        <w:t xml:space="preserve"> n. 4 del 28 gennaio 2019 (convertito modificazione della legge n. 26/2019 con modificazione della legge n. 26/2019), in possesso delle seguenti caratteristiche</w:t>
      </w:r>
      <w:r w:rsidR="00FD7738" w:rsidRPr="001A5A50">
        <w:rPr>
          <w:rFonts w:ascii="Garamond" w:hAnsi="Garamond" w:cstheme="minorHAnsi"/>
          <w:bCs/>
          <w:color w:val="000000"/>
          <w:sz w:val="24"/>
          <w:szCs w:val="24"/>
          <w:lang w:eastAsia="it-IT"/>
        </w:rPr>
        <w:t>:</w:t>
      </w:r>
    </w:p>
    <w:p w14:paraId="357E4841" w14:textId="26A3111E" w:rsidR="001A5A50" w:rsidRPr="001A5A50" w:rsidRDefault="001A5A50" w:rsidP="001A5A50">
      <w:pPr>
        <w:pStyle w:val="ListParagraph"/>
        <w:numPr>
          <w:ilvl w:val="0"/>
          <w:numId w:val="13"/>
        </w:numPr>
        <w:suppressAutoHyphens/>
        <w:spacing w:after="0" w:line="276" w:lineRule="auto"/>
        <w:jc w:val="both"/>
        <w:rPr>
          <w:rFonts w:ascii="Garamond" w:hAnsi="Garamond"/>
          <w:sz w:val="24"/>
          <w:szCs w:val="24"/>
        </w:rPr>
      </w:pPr>
      <w:r w:rsidRPr="001A5A50">
        <w:rPr>
          <w:rFonts w:ascii="Garamond" w:hAnsi="Garamond"/>
          <w:sz w:val="24"/>
          <w:szCs w:val="24"/>
        </w:rPr>
        <w:t xml:space="preserve">lavoratori di età compresa tra i 16 anni e </w:t>
      </w:r>
      <w:r>
        <w:rPr>
          <w:rFonts w:ascii="Garamond" w:hAnsi="Garamond"/>
          <w:sz w:val="24"/>
          <w:szCs w:val="24"/>
        </w:rPr>
        <w:t>i</w:t>
      </w:r>
      <w:r w:rsidRPr="001A5A50">
        <w:rPr>
          <w:rFonts w:ascii="Garamond" w:hAnsi="Garamond"/>
          <w:sz w:val="24"/>
          <w:szCs w:val="24"/>
        </w:rPr>
        <w:t xml:space="preserve"> 24 anni;</w:t>
      </w:r>
    </w:p>
    <w:p w14:paraId="48A6C6A5" w14:textId="77777777" w:rsidR="001A5A50" w:rsidRPr="001A5A50" w:rsidRDefault="001A5A50" w:rsidP="001A5A50">
      <w:pPr>
        <w:pStyle w:val="ListParagraph"/>
        <w:numPr>
          <w:ilvl w:val="0"/>
          <w:numId w:val="13"/>
        </w:numPr>
        <w:suppressAutoHyphens/>
        <w:spacing w:after="0" w:line="276" w:lineRule="auto"/>
        <w:jc w:val="both"/>
        <w:rPr>
          <w:rFonts w:ascii="Garamond" w:hAnsi="Garamond"/>
          <w:sz w:val="24"/>
          <w:szCs w:val="24"/>
        </w:rPr>
      </w:pPr>
      <w:r w:rsidRPr="001A5A50">
        <w:rPr>
          <w:rFonts w:ascii="Garamond" w:hAnsi="Garamond"/>
          <w:sz w:val="24"/>
          <w:szCs w:val="24"/>
        </w:rPr>
        <w:t>lavoratori di età maggiore o uguale a 25 anni, privi di impiego regolarmente retribuito da almeno sei mesi, ai sensi del Decreto del Ministro del Lavoro e delle Politiche Sociali del 17 ottobre 2017.</w:t>
      </w:r>
    </w:p>
    <w:p w14:paraId="2594D4A9" w14:textId="77777777" w:rsidR="001A5A50" w:rsidRDefault="001A5A50" w:rsidP="001A5A50">
      <w:pPr>
        <w:pStyle w:val="Heading2"/>
        <w:ind w:left="426" w:hanging="357"/>
      </w:pPr>
      <w:r>
        <w:t>Assunzioni incentivabili</w:t>
      </w:r>
    </w:p>
    <w:p w14:paraId="08F94E4B" w14:textId="2DC9B979" w:rsidR="001A5A50" w:rsidRPr="001A5A50" w:rsidRDefault="001A5A50" w:rsidP="001A5A50">
      <w:pPr>
        <w:spacing w:after="0" w:line="276" w:lineRule="auto"/>
        <w:jc w:val="both"/>
        <w:rPr>
          <w:rFonts w:ascii="Garamond" w:hAnsi="Garamond"/>
          <w:sz w:val="24"/>
          <w:szCs w:val="24"/>
        </w:rPr>
      </w:pPr>
      <w:r w:rsidRPr="001A5A50">
        <w:rPr>
          <w:rFonts w:ascii="Garamond" w:hAnsi="Garamond"/>
          <w:sz w:val="24"/>
          <w:szCs w:val="24"/>
        </w:rPr>
        <w:t xml:space="preserve">Sono incentivabili le assunzioni effettuate nel periodo compreso tra il </w:t>
      </w:r>
      <w:r w:rsidRPr="001A5A50">
        <w:rPr>
          <w:rFonts w:ascii="Garamond" w:hAnsi="Garamond"/>
          <w:b/>
          <w:bCs/>
          <w:sz w:val="24"/>
          <w:szCs w:val="24"/>
        </w:rPr>
        <w:t xml:space="preserve">1° gennaio 2020 </w:t>
      </w:r>
      <w:r w:rsidRPr="001A5A50">
        <w:rPr>
          <w:rFonts w:ascii="Garamond" w:hAnsi="Garamond"/>
          <w:sz w:val="24"/>
          <w:szCs w:val="24"/>
        </w:rPr>
        <w:t>e</w:t>
      </w:r>
      <w:r>
        <w:rPr>
          <w:rFonts w:ascii="Garamond" w:hAnsi="Garamond"/>
          <w:b/>
          <w:bCs/>
          <w:sz w:val="24"/>
          <w:szCs w:val="24"/>
        </w:rPr>
        <w:t xml:space="preserve"> </w:t>
      </w:r>
      <w:r w:rsidRPr="001A5A50">
        <w:rPr>
          <w:rFonts w:ascii="Garamond" w:hAnsi="Garamond"/>
          <w:sz w:val="24"/>
          <w:szCs w:val="24"/>
        </w:rPr>
        <w:t>il</w:t>
      </w:r>
      <w:r w:rsidRPr="001A5A50">
        <w:rPr>
          <w:rFonts w:ascii="Garamond" w:hAnsi="Garamond"/>
          <w:b/>
          <w:bCs/>
          <w:sz w:val="24"/>
          <w:szCs w:val="24"/>
        </w:rPr>
        <w:t xml:space="preserve"> 31 dicembre 2020</w:t>
      </w:r>
      <w:r w:rsidRPr="001A5A50">
        <w:rPr>
          <w:rFonts w:ascii="Garamond" w:hAnsi="Garamond"/>
          <w:sz w:val="24"/>
          <w:szCs w:val="24"/>
        </w:rPr>
        <w:t>.</w:t>
      </w:r>
    </w:p>
    <w:p w14:paraId="570E7E0A" w14:textId="77777777" w:rsidR="001A5A50" w:rsidRPr="001A5A50" w:rsidRDefault="001A5A50" w:rsidP="001A5A50">
      <w:pPr>
        <w:spacing w:after="0" w:line="276" w:lineRule="auto"/>
        <w:rPr>
          <w:rFonts w:ascii="Garamond" w:hAnsi="Garamond"/>
          <w:sz w:val="24"/>
          <w:szCs w:val="24"/>
        </w:rPr>
      </w:pPr>
      <w:r w:rsidRPr="001A5A50">
        <w:rPr>
          <w:rFonts w:ascii="Garamond" w:hAnsi="Garamond"/>
          <w:sz w:val="24"/>
          <w:szCs w:val="24"/>
        </w:rPr>
        <w:t>L’incentivo è riconosciuto esclusivamente per le seguenti tipologie contrattuali:</w:t>
      </w:r>
    </w:p>
    <w:p w14:paraId="62063546" w14:textId="77777777" w:rsidR="001A5A50" w:rsidRPr="001A5A50" w:rsidRDefault="001A5A50" w:rsidP="001A5A50">
      <w:pPr>
        <w:spacing w:after="0" w:line="276" w:lineRule="auto"/>
        <w:ind w:left="708"/>
        <w:rPr>
          <w:rFonts w:ascii="Garamond" w:hAnsi="Garamond"/>
          <w:sz w:val="24"/>
          <w:szCs w:val="24"/>
        </w:rPr>
      </w:pPr>
      <w:r w:rsidRPr="001A5A50">
        <w:rPr>
          <w:rFonts w:ascii="Garamond" w:hAnsi="Garamond"/>
          <w:sz w:val="24"/>
          <w:szCs w:val="24"/>
        </w:rPr>
        <w:t xml:space="preserve">a) contratto di lavoro a tempo indeterminato, anche a scopo di somministrazione; </w:t>
      </w:r>
    </w:p>
    <w:p w14:paraId="2336B0FF" w14:textId="77777777" w:rsidR="001A5A50" w:rsidRPr="001A5A50" w:rsidRDefault="001A5A50" w:rsidP="001A5A50">
      <w:pPr>
        <w:spacing w:after="0" w:line="276" w:lineRule="auto"/>
        <w:ind w:left="708"/>
        <w:rPr>
          <w:rFonts w:ascii="Garamond" w:hAnsi="Garamond"/>
          <w:sz w:val="24"/>
          <w:szCs w:val="24"/>
        </w:rPr>
      </w:pPr>
      <w:r w:rsidRPr="001A5A50">
        <w:rPr>
          <w:rFonts w:ascii="Garamond" w:hAnsi="Garamond"/>
          <w:sz w:val="24"/>
          <w:szCs w:val="24"/>
        </w:rPr>
        <w:t>b) contratto di apprendistato professionalizzante.</w:t>
      </w:r>
    </w:p>
    <w:p w14:paraId="0430F611" w14:textId="77777777" w:rsidR="001A5A50" w:rsidRPr="001A5A50" w:rsidRDefault="001A5A50" w:rsidP="001A5A50">
      <w:pPr>
        <w:spacing w:after="0" w:line="276" w:lineRule="auto"/>
        <w:rPr>
          <w:rFonts w:ascii="Garamond" w:hAnsi="Garamond"/>
          <w:sz w:val="24"/>
          <w:szCs w:val="24"/>
        </w:rPr>
      </w:pPr>
      <w:r w:rsidRPr="001A5A50">
        <w:rPr>
          <w:rFonts w:ascii="Garamond" w:hAnsi="Garamond"/>
          <w:sz w:val="24"/>
          <w:szCs w:val="24"/>
        </w:rPr>
        <w:t>L’incentivo è riconosciuto anche in caso di:</w:t>
      </w:r>
    </w:p>
    <w:p w14:paraId="655C8BF7" w14:textId="77777777" w:rsidR="001A5A50" w:rsidRPr="001A5A50" w:rsidRDefault="001A5A50" w:rsidP="001A5A50">
      <w:pPr>
        <w:pStyle w:val="ListParagraph"/>
        <w:numPr>
          <w:ilvl w:val="0"/>
          <w:numId w:val="14"/>
        </w:numPr>
        <w:suppressAutoHyphens/>
        <w:spacing w:after="0" w:line="276" w:lineRule="auto"/>
        <w:ind w:left="284" w:hanging="284"/>
        <w:jc w:val="both"/>
        <w:rPr>
          <w:rFonts w:ascii="Garamond" w:hAnsi="Garamond"/>
          <w:sz w:val="24"/>
          <w:szCs w:val="24"/>
        </w:rPr>
      </w:pPr>
      <w:r w:rsidRPr="001A5A50">
        <w:rPr>
          <w:rFonts w:ascii="Garamond" w:hAnsi="Garamond"/>
          <w:sz w:val="24"/>
          <w:szCs w:val="24"/>
        </w:rPr>
        <w:t>lavoro a tempo parziale</w:t>
      </w:r>
    </w:p>
    <w:p w14:paraId="2A727FDD" w14:textId="09BC63D9" w:rsidR="001A5A50" w:rsidRDefault="001A5A50" w:rsidP="001A5A50">
      <w:pPr>
        <w:pStyle w:val="ListParagraph"/>
        <w:numPr>
          <w:ilvl w:val="0"/>
          <w:numId w:val="14"/>
        </w:numPr>
        <w:suppressAutoHyphens/>
        <w:spacing w:after="0" w:line="276" w:lineRule="auto"/>
        <w:ind w:left="284" w:hanging="284"/>
        <w:jc w:val="both"/>
        <w:rPr>
          <w:rFonts w:ascii="Garamond" w:hAnsi="Garamond"/>
          <w:sz w:val="24"/>
          <w:szCs w:val="24"/>
        </w:rPr>
      </w:pPr>
      <w:r w:rsidRPr="001A5A50">
        <w:rPr>
          <w:rFonts w:ascii="Garamond" w:hAnsi="Garamond"/>
          <w:sz w:val="24"/>
          <w:szCs w:val="24"/>
        </w:rPr>
        <w:lastRenderedPageBreak/>
        <w:t xml:space="preserve">in caso di trasformazione a tempo indeterminato di un rapporto a tempo determinato; per tale fattispecie non è richiesto il requisito di disoccupazione </w:t>
      </w:r>
      <w:r>
        <w:rPr>
          <w:rFonts w:ascii="Garamond" w:hAnsi="Garamond"/>
          <w:sz w:val="24"/>
          <w:szCs w:val="24"/>
        </w:rPr>
        <w:t>ma, per le persone in età uguale o superiore ai 25 anni, è necessario il requisito di assenza di impiego regolarmente retribuito da almeno 6 mesi.</w:t>
      </w:r>
    </w:p>
    <w:p w14:paraId="1B4F3395" w14:textId="77777777" w:rsidR="001A5A50" w:rsidRPr="001A5A50" w:rsidRDefault="001A5A50" w:rsidP="001A5A50">
      <w:pPr>
        <w:suppressAutoHyphens/>
        <w:spacing w:after="0" w:line="276" w:lineRule="auto"/>
        <w:jc w:val="both"/>
        <w:rPr>
          <w:rFonts w:ascii="Garamond" w:hAnsi="Garamond"/>
          <w:sz w:val="24"/>
          <w:szCs w:val="24"/>
        </w:rPr>
      </w:pPr>
    </w:p>
    <w:p w14:paraId="05A001CD" w14:textId="77777777" w:rsidR="001A5A50" w:rsidRPr="001A5A50" w:rsidRDefault="001A5A50" w:rsidP="001A5A50">
      <w:pPr>
        <w:spacing w:line="276" w:lineRule="auto"/>
        <w:jc w:val="both"/>
        <w:rPr>
          <w:rFonts w:ascii="Garamond" w:hAnsi="Garamond"/>
          <w:sz w:val="24"/>
          <w:szCs w:val="24"/>
        </w:rPr>
      </w:pPr>
      <w:r w:rsidRPr="001A5A50">
        <w:rPr>
          <w:rFonts w:ascii="Garamond" w:hAnsi="Garamond"/>
          <w:sz w:val="24"/>
          <w:szCs w:val="24"/>
        </w:rPr>
        <w:t xml:space="preserve">Rientra infine nell’ambito di applicazione dell’incentivo anche il socio lavoratore di cooperativa, se assunto con contratto di lavoro subordinato. </w:t>
      </w:r>
    </w:p>
    <w:p w14:paraId="6671D802" w14:textId="77777777" w:rsidR="001A5A50" w:rsidRPr="001A5A50" w:rsidRDefault="001A5A50" w:rsidP="001A5A50">
      <w:pPr>
        <w:spacing w:line="276" w:lineRule="auto"/>
        <w:rPr>
          <w:rFonts w:ascii="Garamond" w:hAnsi="Garamond"/>
          <w:sz w:val="24"/>
          <w:szCs w:val="24"/>
        </w:rPr>
      </w:pPr>
      <w:r w:rsidRPr="001A5A50">
        <w:rPr>
          <w:rFonts w:ascii="Garamond" w:hAnsi="Garamond"/>
          <w:sz w:val="24"/>
          <w:szCs w:val="24"/>
        </w:rPr>
        <w:t>Restano escluse le assunzioni con contratto di lavoro domestico, occasionale o intermittente.</w:t>
      </w:r>
    </w:p>
    <w:p w14:paraId="075F1758" w14:textId="77777777" w:rsidR="00766B46" w:rsidRDefault="00766B46" w:rsidP="00766B46">
      <w:pPr>
        <w:pStyle w:val="Heading2"/>
        <w:ind w:left="426" w:hanging="357"/>
      </w:pPr>
      <w:r>
        <w:t>Importo dell’incentivo</w:t>
      </w:r>
    </w:p>
    <w:p w14:paraId="660F4051" w14:textId="5AE47061" w:rsidR="00766B46" w:rsidRPr="00766B46" w:rsidRDefault="00766B46" w:rsidP="00766B46">
      <w:pPr>
        <w:spacing w:line="276" w:lineRule="auto"/>
        <w:jc w:val="both"/>
        <w:rPr>
          <w:rFonts w:ascii="Garamond" w:hAnsi="Garamond"/>
          <w:sz w:val="24"/>
          <w:szCs w:val="24"/>
        </w:rPr>
      </w:pPr>
      <w:r w:rsidRPr="00766B46">
        <w:rPr>
          <w:rFonts w:ascii="Garamond" w:hAnsi="Garamond"/>
          <w:sz w:val="24"/>
          <w:szCs w:val="24"/>
        </w:rPr>
        <w:t xml:space="preserve">L’incentivo </w:t>
      </w:r>
      <w:r>
        <w:rPr>
          <w:rFonts w:ascii="Garamond" w:hAnsi="Garamond"/>
          <w:sz w:val="24"/>
          <w:szCs w:val="24"/>
        </w:rPr>
        <w:t>consiste nell’esonero dell</w:t>
      </w:r>
      <w:r w:rsidRPr="00766B46">
        <w:rPr>
          <w:rFonts w:ascii="Garamond" w:hAnsi="Garamond"/>
          <w:sz w:val="24"/>
          <w:szCs w:val="24"/>
        </w:rPr>
        <w:t xml:space="preserve">a contribuzione previdenziale a carico del datore di lavoro (con esclusione di premi e contributi dovuti all’INAIL), per un periodo di 12 mesi a partire dalla data di assunzione, nel limite massimo di 8.060 euro su base annua, per lavoratore assunto, riparametrato e applicato su base mensile. </w:t>
      </w:r>
    </w:p>
    <w:p w14:paraId="13C7EEFA" w14:textId="0619DAA0" w:rsidR="003477AD" w:rsidRDefault="00766B46" w:rsidP="00766B46">
      <w:pPr>
        <w:shd w:val="clear" w:color="auto" w:fill="FFFFFF"/>
        <w:spacing w:after="100" w:afterAutospacing="1" w:line="276" w:lineRule="auto"/>
        <w:contextualSpacing/>
        <w:jc w:val="both"/>
        <w:rPr>
          <w:rFonts w:ascii="Garamond" w:hAnsi="Garamond"/>
          <w:sz w:val="24"/>
          <w:szCs w:val="24"/>
        </w:rPr>
      </w:pPr>
      <w:r w:rsidRPr="00766B46">
        <w:rPr>
          <w:rFonts w:ascii="Garamond" w:hAnsi="Garamond"/>
          <w:sz w:val="24"/>
          <w:szCs w:val="24"/>
        </w:rPr>
        <w:t>In caso di lavoro a tempo parziale il massimale è proporzionalmente ridotto</w:t>
      </w:r>
      <w:r>
        <w:rPr>
          <w:rFonts w:ascii="Garamond" w:hAnsi="Garamond"/>
          <w:sz w:val="24"/>
          <w:szCs w:val="24"/>
        </w:rPr>
        <w:t>.</w:t>
      </w:r>
    </w:p>
    <w:p w14:paraId="70010180" w14:textId="77777777" w:rsidR="00766B46" w:rsidRPr="000011DF" w:rsidRDefault="00766B46" w:rsidP="00766B46">
      <w:pPr>
        <w:shd w:val="clear" w:color="auto" w:fill="FFFFFF"/>
        <w:spacing w:after="100" w:afterAutospacing="1" w:line="276" w:lineRule="auto"/>
        <w:contextualSpacing/>
        <w:jc w:val="both"/>
        <w:rPr>
          <w:rFonts w:ascii="Garamond" w:hAnsi="Garamond" w:cstheme="minorHAnsi"/>
          <w:bCs/>
          <w:color w:val="000000"/>
          <w:sz w:val="24"/>
          <w:szCs w:val="24"/>
          <w:lang w:eastAsia="it-IT"/>
        </w:rPr>
      </w:pPr>
      <w:r w:rsidRPr="000011DF">
        <w:rPr>
          <w:rFonts w:ascii="Garamond" w:hAnsi="Garamond" w:cstheme="minorHAnsi"/>
          <w:bCs/>
          <w:color w:val="000000"/>
          <w:sz w:val="24"/>
          <w:szCs w:val="24"/>
          <w:lang w:eastAsia="it-IT"/>
        </w:rPr>
        <w:t>L’incentivo è cumulabile con altre tipologie di incentivi.</w:t>
      </w:r>
    </w:p>
    <w:p w14:paraId="20213FDF" w14:textId="090E7901" w:rsidR="00766B46" w:rsidRDefault="00766B46" w:rsidP="00766B46">
      <w:pPr>
        <w:pStyle w:val="Heading2"/>
        <w:ind w:left="426" w:hanging="357"/>
      </w:pPr>
      <w:r>
        <w:t xml:space="preserve">Attuazione </w:t>
      </w:r>
    </w:p>
    <w:p w14:paraId="04E74295" w14:textId="77777777" w:rsidR="00766B46" w:rsidRDefault="00766B46" w:rsidP="003A6687">
      <w:pPr>
        <w:shd w:val="clear" w:color="auto" w:fill="FFFFFF"/>
        <w:spacing w:after="100" w:afterAutospacing="1" w:line="276" w:lineRule="auto"/>
        <w:contextualSpacing/>
        <w:jc w:val="both"/>
        <w:rPr>
          <w:rFonts w:ascii="Garamond" w:hAnsi="Garamond" w:cstheme="minorHAnsi"/>
          <w:bCs/>
          <w:color w:val="000000"/>
          <w:sz w:val="24"/>
          <w:szCs w:val="24"/>
          <w:lang w:eastAsia="it-IT"/>
        </w:rPr>
      </w:pPr>
      <w:r>
        <w:rPr>
          <w:rFonts w:ascii="Garamond" w:hAnsi="Garamond" w:cstheme="minorHAnsi"/>
          <w:bCs/>
          <w:color w:val="000000"/>
          <w:sz w:val="24"/>
          <w:szCs w:val="24"/>
          <w:lang w:eastAsia="it-IT"/>
        </w:rPr>
        <w:t>L’INPS ha pubblicato la Circolare n. 124 del 26 ottobre 2020 contenente tutte le informazioni utili per l’accesso all’incentivo.</w:t>
      </w:r>
    </w:p>
    <w:p w14:paraId="7EB51D38" w14:textId="7F734F1D" w:rsidR="0058563E" w:rsidRPr="000011DF" w:rsidRDefault="0058563E" w:rsidP="003A6687">
      <w:pPr>
        <w:shd w:val="clear" w:color="auto" w:fill="FFFFFF"/>
        <w:spacing w:after="100" w:afterAutospacing="1" w:line="276" w:lineRule="auto"/>
        <w:contextualSpacing/>
        <w:jc w:val="both"/>
        <w:rPr>
          <w:rFonts w:ascii="Garamond" w:hAnsi="Garamond" w:cstheme="minorHAnsi"/>
          <w:bCs/>
          <w:color w:val="000000"/>
          <w:sz w:val="24"/>
          <w:szCs w:val="24"/>
          <w:lang w:eastAsia="it-IT"/>
        </w:rPr>
      </w:pPr>
    </w:p>
    <w:p w14:paraId="052EE6F5" w14:textId="77777777" w:rsidR="004B48CD" w:rsidRPr="0058563E" w:rsidRDefault="004B48CD">
      <w:pPr>
        <w:rPr>
          <w:rFonts w:cstheme="minorHAnsi"/>
        </w:rPr>
      </w:pPr>
    </w:p>
    <w:sectPr w:rsidR="004B48CD" w:rsidRPr="0058563E" w:rsidSect="008614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20EB2"/>
    <w:multiLevelType w:val="hybridMultilevel"/>
    <w:tmpl w:val="2EB2A972"/>
    <w:lvl w:ilvl="0" w:tplc="5AD64F50">
      <w:numFmt w:val="bullet"/>
      <w:lvlText w:val="-"/>
      <w:lvlJc w:val="left"/>
      <w:pPr>
        <w:ind w:left="720" w:hanging="360"/>
      </w:pPr>
      <w:rPr>
        <w:rFonts w:ascii="Garamond" w:eastAsiaTheme="minorHAnsi" w:hAnsi="Garamond"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B64967"/>
    <w:multiLevelType w:val="hybridMultilevel"/>
    <w:tmpl w:val="8422AEF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0E82B62"/>
    <w:multiLevelType w:val="hybridMultilevel"/>
    <w:tmpl w:val="96D2629C"/>
    <w:lvl w:ilvl="0" w:tplc="B0006956">
      <w:numFmt w:val="bullet"/>
      <w:lvlText w:val="-"/>
      <w:lvlJc w:val="left"/>
      <w:pPr>
        <w:ind w:left="720" w:hanging="360"/>
      </w:pPr>
      <w:rPr>
        <w:rFonts w:ascii="Garamond" w:eastAsiaTheme="minorHAnsi" w:hAnsi="Garamond"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C078F1"/>
    <w:multiLevelType w:val="hybridMultilevel"/>
    <w:tmpl w:val="7DFA5154"/>
    <w:lvl w:ilvl="0" w:tplc="4F40DAE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A81330"/>
    <w:multiLevelType w:val="multilevel"/>
    <w:tmpl w:val="8082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46B54"/>
    <w:multiLevelType w:val="hybridMultilevel"/>
    <w:tmpl w:val="ADF4FD96"/>
    <w:lvl w:ilvl="0" w:tplc="972878D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F44BCD"/>
    <w:multiLevelType w:val="multilevel"/>
    <w:tmpl w:val="84A2A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BF6ADC"/>
    <w:multiLevelType w:val="hybridMultilevel"/>
    <w:tmpl w:val="A9E6476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8" w15:restartNumberingAfterBreak="0">
    <w:nsid w:val="4E056992"/>
    <w:multiLevelType w:val="hybridMultilevel"/>
    <w:tmpl w:val="B532D6D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C0863E2"/>
    <w:multiLevelType w:val="hybridMultilevel"/>
    <w:tmpl w:val="32681EC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8F46EAD"/>
    <w:multiLevelType w:val="multilevel"/>
    <w:tmpl w:val="99BC4920"/>
    <w:lvl w:ilvl="0">
      <w:start w:val="1"/>
      <w:numFmt w:val="decimal"/>
      <w:pStyle w:val="Heading2"/>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num w:numId="1">
    <w:abstractNumId w:val="4"/>
  </w:num>
  <w:num w:numId="2">
    <w:abstractNumId w:val="5"/>
  </w:num>
  <w:num w:numId="3">
    <w:abstractNumId w:val="3"/>
  </w:num>
  <w:num w:numId="4">
    <w:abstractNumId w:val="6"/>
  </w:num>
  <w:num w:numId="5">
    <w:abstractNumId w:val="0"/>
  </w:num>
  <w:num w:numId="6">
    <w:abstractNumId w:val="2"/>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71251F"/>
    <w:rsid w:val="000011DF"/>
    <w:rsid w:val="001A5A50"/>
    <w:rsid w:val="001B2304"/>
    <w:rsid w:val="0024501F"/>
    <w:rsid w:val="002C39B6"/>
    <w:rsid w:val="00307013"/>
    <w:rsid w:val="003477AD"/>
    <w:rsid w:val="003A6687"/>
    <w:rsid w:val="003F0B09"/>
    <w:rsid w:val="0042278E"/>
    <w:rsid w:val="00424DAC"/>
    <w:rsid w:val="004B48CD"/>
    <w:rsid w:val="0058563E"/>
    <w:rsid w:val="00593212"/>
    <w:rsid w:val="005D47F8"/>
    <w:rsid w:val="007043D8"/>
    <w:rsid w:val="0071251F"/>
    <w:rsid w:val="00757CAA"/>
    <w:rsid w:val="00766B46"/>
    <w:rsid w:val="00861432"/>
    <w:rsid w:val="00905E61"/>
    <w:rsid w:val="0098339C"/>
    <w:rsid w:val="00BB1C4F"/>
    <w:rsid w:val="00C44925"/>
    <w:rsid w:val="00CD27A9"/>
    <w:rsid w:val="00D07099"/>
    <w:rsid w:val="00D53121"/>
    <w:rsid w:val="00DB79CC"/>
    <w:rsid w:val="00FD7738"/>
    <w:rsid w:val="00FF0C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E54A"/>
  <w15:docId w15:val="{CC0AF779-B72B-4664-A93F-A2361C45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432"/>
  </w:style>
  <w:style w:type="paragraph" w:styleId="Heading2">
    <w:name w:val="heading 2"/>
    <w:basedOn w:val="Normal"/>
    <w:next w:val="Normal"/>
    <w:link w:val="Heading2Char"/>
    <w:uiPriority w:val="9"/>
    <w:unhideWhenUsed/>
    <w:qFormat/>
    <w:rsid w:val="005D47F8"/>
    <w:pPr>
      <w:keepNext/>
      <w:keepLines/>
      <w:numPr>
        <w:numId w:val="9"/>
      </w:numPr>
      <w:suppressAutoHyphens/>
      <w:spacing w:before="240" w:after="120" w:line="240" w:lineRule="auto"/>
      <w:jc w:val="both"/>
      <w:outlineLvl w:val="1"/>
    </w:pPr>
    <w:rPr>
      <w:rFonts w:ascii="Garamond" w:eastAsiaTheme="majorEastAsia" w:hAnsi="Garamond" w:cstheme="majorBidi"/>
      <w:b/>
      <w:color w:val="2E74B5" w:themeColor="accent1" w:themeShade="BF"/>
      <w:sz w:val="28"/>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48CD"/>
    <w:rPr>
      <w:b/>
      <w:bCs/>
    </w:rPr>
  </w:style>
  <w:style w:type="character" w:styleId="Emphasis">
    <w:name w:val="Emphasis"/>
    <w:basedOn w:val="DefaultParagraphFont"/>
    <w:uiPriority w:val="20"/>
    <w:qFormat/>
    <w:rsid w:val="004B48CD"/>
    <w:rPr>
      <w:i/>
      <w:iCs/>
    </w:rPr>
  </w:style>
  <w:style w:type="paragraph" w:styleId="NormalWeb">
    <w:name w:val="Normal (Web)"/>
    <w:basedOn w:val="Normal"/>
    <w:uiPriority w:val="99"/>
    <w:semiHidden/>
    <w:unhideWhenUsed/>
    <w:rsid w:val="004B48CD"/>
    <w:pPr>
      <w:spacing w:after="165" w:line="240" w:lineRule="auto"/>
    </w:pPr>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4B48CD"/>
    <w:pPr>
      <w:ind w:left="720"/>
      <w:contextualSpacing/>
    </w:pPr>
  </w:style>
  <w:style w:type="character" w:styleId="Hyperlink">
    <w:name w:val="Hyperlink"/>
    <w:basedOn w:val="DefaultParagraphFont"/>
    <w:uiPriority w:val="99"/>
    <w:semiHidden/>
    <w:unhideWhenUsed/>
    <w:rsid w:val="0098339C"/>
    <w:rPr>
      <w:color w:val="0000FF"/>
      <w:u w:val="single"/>
    </w:rPr>
  </w:style>
  <w:style w:type="paragraph" w:styleId="BalloonText">
    <w:name w:val="Balloon Text"/>
    <w:basedOn w:val="Normal"/>
    <w:link w:val="BalloonTextChar"/>
    <w:uiPriority w:val="99"/>
    <w:semiHidden/>
    <w:unhideWhenUsed/>
    <w:rsid w:val="00FD7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738"/>
    <w:rPr>
      <w:rFonts w:ascii="Segoe UI" w:hAnsi="Segoe UI" w:cs="Segoe UI"/>
      <w:sz w:val="18"/>
      <w:szCs w:val="18"/>
    </w:rPr>
  </w:style>
  <w:style w:type="character" w:customStyle="1" w:styleId="Heading2Char">
    <w:name w:val="Heading 2 Char"/>
    <w:basedOn w:val="DefaultParagraphFont"/>
    <w:link w:val="Heading2"/>
    <w:uiPriority w:val="9"/>
    <w:rsid w:val="005D47F8"/>
    <w:rPr>
      <w:rFonts w:ascii="Garamond" w:eastAsiaTheme="majorEastAsia" w:hAnsi="Garamond" w:cstheme="majorBidi"/>
      <w:b/>
      <w:color w:val="2E74B5" w:themeColor="accent1" w:themeShade="BF"/>
      <w:sz w:val="28"/>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5725">
      <w:bodyDiv w:val="1"/>
      <w:marLeft w:val="0"/>
      <w:marRight w:val="0"/>
      <w:marTop w:val="0"/>
      <w:marBottom w:val="0"/>
      <w:divBdr>
        <w:top w:val="none" w:sz="0" w:space="0" w:color="auto"/>
        <w:left w:val="none" w:sz="0" w:space="0" w:color="auto"/>
        <w:bottom w:val="none" w:sz="0" w:space="0" w:color="auto"/>
        <w:right w:val="none" w:sz="0" w:space="0" w:color="auto"/>
      </w:divBdr>
    </w:div>
    <w:div w:id="159197201">
      <w:bodyDiv w:val="1"/>
      <w:marLeft w:val="0"/>
      <w:marRight w:val="0"/>
      <w:marTop w:val="0"/>
      <w:marBottom w:val="0"/>
      <w:divBdr>
        <w:top w:val="none" w:sz="0" w:space="0" w:color="auto"/>
        <w:left w:val="none" w:sz="0" w:space="0" w:color="auto"/>
        <w:bottom w:val="none" w:sz="0" w:space="0" w:color="auto"/>
        <w:right w:val="none" w:sz="0" w:space="0" w:color="auto"/>
      </w:divBdr>
      <w:divsChild>
        <w:div w:id="908032569">
          <w:marLeft w:val="0"/>
          <w:marRight w:val="0"/>
          <w:marTop w:val="0"/>
          <w:marBottom w:val="0"/>
          <w:divBdr>
            <w:top w:val="none" w:sz="0" w:space="0" w:color="auto"/>
            <w:left w:val="none" w:sz="0" w:space="0" w:color="auto"/>
            <w:bottom w:val="none" w:sz="0" w:space="0" w:color="auto"/>
            <w:right w:val="none" w:sz="0" w:space="0" w:color="auto"/>
          </w:divBdr>
          <w:divsChild>
            <w:div w:id="1467627242">
              <w:marLeft w:val="-240"/>
              <w:marRight w:val="-240"/>
              <w:marTop w:val="0"/>
              <w:marBottom w:val="0"/>
              <w:divBdr>
                <w:top w:val="none" w:sz="0" w:space="0" w:color="auto"/>
                <w:left w:val="none" w:sz="0" w:space="0" w:color="auto"/>
                <w:bottom w:val="none" w:sz="0" w:space="0" w:color="auto"/>
                <w:right w:val="none" w:sz="0" w:space="0" w:color="auto"/>
              </w:divBdr>
              <w:divsChild>
                <w:div w:id="495344078">
                  <w:marLeft w:val="0"/>
                  <w:marRight w:val="0"/>
                  <w:marTop w:val="288"/>
                  <w:marBottom w:val="0"/>
                  <w:divBdr>
                    <w:top w:val="none" w:sz="0" w:space="0" w:color="auto"/>
                    <w:left w:val="none" w:sz="0" w:space="0" w:color="auto"/>
                    <w:bottom w:val="none" w:sz="0" w:space="0" w:color="auto"/>
                    <w:right w:val="none" w:sz="0" w:space="0" w:color="auto"/>
                  </w:divBdr>
                  <w:divsChild>
                    <w:div w:id="982269026">
                      <w:marLeft w:val="0"/>
                      <w:marRight w:val="0"/>
                      <w:marTop w:val="0"/>
                      <w:marBottom w:val="0"/>
                      <w:divBdr>
                        <w:top w:val="none" w:sz="0" w:space="0" w:color="auto"/>
                        <w:left w:val="none" w:sz="0" w:space="0" w:color="auto"/>
                        <w:bottom w:val="none" w:sz="0" w:space="0" w:color="auto"/>
                        <w:right w:val="none" w:sz="0" w:space="0" w:color="auto"/>
                      </w:divBdr>
                      <w:divsChild>
                        <w:div w:id="1672761037">
                          <w:marLeft w:val="0"/>
                          <w:marRight w:val="0"/>
                          <w:marTop w:val="0"/>
                          <w:marBottom w:val="0"/>
                          <w:divBdr>
                            <w:top w:val="none" w:sz="0" w:space="0" w:color="auto"/>
                            <w:left w:val="none" w:sz="0" w:space="0" w:color="auto"/>
                            <w:bottom w:val="none" w:sz="0" w:space="0" w:color="auto"/>
                            <w:right w:val="none" w:sz="0" w:space="0" w:color="auto"/>
                          </w:divBdr>
                          <w:divsChild>
                            <w:div w:id="6100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335292">
      <w:bodyDiv w:val="1"/>
      <w:marLeft w:val="0"/>
      <w:marRight w:val="0"/>
      <w:marTop w:val="0"/>
      <w:marBottom w:val="0"/>
      <w:divBdr>
        <w:top w:val="none" w:sz="0" w:space="0" w:color="auto"/>
        <w:left w:val="none" w:sz="0" w:space="0" w:color="auto"/>
        <w:bottom w:val="none" w:sz="0" w:space="0" w:color="auto"/>
        <w:right w:val="none" w:sz="0" w:space="0" w:color="auto"/>
      </w:divBdr>
    </w:div>
    <w:div w:id="353926114">
      <w:bodyDiv w:val="1"/>
      <w:marLeft w:val="0"/>
      <w:marRight w:val="0"/>
      <w:marTop w:val="0"/>
      <w:marBottom w:val="0"/>
      <w:divBdr>
        <w:top w:val="none" w:sz="0" w:space="0" w:color="auto"/>
        <w:left w:val="none" w:sz="0" w:space="0" w:color="auto"/>
        <w:bottom w:val="none" w:sz="0" w:space="0" w:color="auto"/>
        <w:right w:val="none" w:sz="0" w:space="0" w:color="auto"/>
      </w:divBdr>
    </w:div>
    <w:div w:id="397171048">
      <w:bodyDiv w:val="1"/>
      <w:marLeft w:val="0"/>
      <w:marRight w:val="0"/>
      <w:marTop w:val="0"/>
      <w:marBottom w:val="0"/>
      <w:divBdr>
        <w:top w:val="none" w:sz="0" w:space="0" w:color="auto"/>
        <w:left w:val="none" w:sz="0" w:space="0" w:color="auto"/>
        <w:bottom w:val="none" w:sz="0" w:space="0" w:color="auto"/>
        <w:right w:val="none" w:sz="0" w:space="0" w:color="auto"/>
      </w:divBdr>
    </w:div>
    <w:div w:id="507870904">
      <w:bodyDiv w:val="1"/>
      <w:marLeft w:val="0"/>
      <w:marRight w:val="0"/>
      <w:marTop w:val="0"/>
      <w:marBottom w:val="0"/>
      <w:divBdr>
        <w:top w:val="none" w:sz="0" w:space="0" w:color="auto"/>
        <w:left w:val="none" w:sz="0" w:space="0" w:color="auto"/>
        <w:bottom w:val="none" w:sz="0" w:space="0" w:color="auto"/>
        <w:right w:val="none" w:sz="0" w:space="0" w:color="auto"/>
      </w:divBdr>
    </w:div>
    <w:div w:id="630402057">
      <w:bodyDiv w:val="1"/>
      <w:marLeft w:val="0"/>
      <w:marRight w:val="0"/>
      <w:marTop w:val="0"/>
      <w:marBottom w:val="0"/>
      <w:divBdr>
        <w:top w:val="none" w:sz="0" w:space="0" w:color="auto"/>
        <w:left w:val="none" w:sz="0" w:space="0" w:color="auto"/>
        <w:bottom w:val="none" w:sz="0" w:space="0" w:color="auto"/>
        <w:right w:val="none" w:sz="0" w:space="0" w:color="auto"/>
      </w:divBdr>
    </w:div>
    <w:div w:id="727218612">
      <w:bodyDiv w:val="1"/>
      <w:marLeft w:val="0"/>
      <w:marRight w:val="0"/>
      <w:marTop w:val="0"/>
      <w:marBottom w:val="0"/>
      <w:divBdr>
        <w:top w:val="none" w:sz="0" w:space="0" w:color="auto"/>
        <w:left w:val="none" w:sz="0" w:space="0" w:color="auto"/>
        <w:bottom w:val="none" w:sz="0" w:space="0" w:color="auto"/>
        <w:right w:val="none" w:sz="0" w:space="0" w:color="auto"/>
      </w:divBdr>
    </w:div>
    <w:div w:id="1425570251">
      <w:bodyDiv w:val="1"/>
      <w:marLeft w:val="0"/>
      <w:marRight w:val="0"/>
      <w:marTop w:val="0"/>
      <w:marBottom w:val="0"/>
      <w:divBdr>
        <w:top w:val="none" w:sz="0" w:space="0" w:color="auto"/>
        <w:left w:val="none" w:sz="0" w:space="0" w:color="auto"/>
        <w:bottom w:val="none" w:sz="0" w:space="0" w:color="auto"/>
        <w:right w:val="none" w:sz="0" w:space="0" w:color="auto"/>
      </w:divBdr>
    </w:div>
    <w:div w:id="1571697331">
      <w:bodyDiv w:val="1"/>
      <w:marLeft w:val="0"/>
      <w:marRight w:val="0"/>
      <w:marTop w:val="0"/>
      <w:marBottom w:val="0"/>
      <w:divBdr>
        <w:top w:val="none" w:sz="0" w:space="0" w:color="auto"/>
        <w:left w:val="none" w:sz="0" w:space="0" w:color="auto"/>
        <w:bottom w:val="none" w:sz="0" w:space="0" w:color="auto"/>
        <w:right w:val="none" w:sz="0" w:space="0" w:color="auto"/>
      </w:divBdr>
    </w:div>
    <w:div w:id="1591545176">
      <w:bodyDiv w:val="1"/>
      <w:marLeft w:val="0"/>
      <w:marRight w:val="0"/>
      <w:marTop w:val="0"/>
      <w:marBottom w:val="0"/>
      <w:divBdr>
        <w:top w:val="none" w:sz="0" w:space="0" w:color="auto"/>
        <w:left w:val="none" w:sz="0" w:space="0" w:color="auto"/>
        <w:bottom w:val="none" w:sz="0" w:space="0" w:color="auto"/>
        <w:right w:val="none" w:sz="0" w:space="0" w:color="auto"/>
      </w:divBdr>
    </w:div>
    <w:div w:id="1683244948">
      <w:bodyDiv w:val="1"/>
      <w:marLeft w:val="0"/>
      <w:marRight w:val="0"/>
      <w:marTop w:val="0"/>
      <w:marBottom w:val="0"/>
      <w:divBdr>
        <w:top w:val="none" w:sz="0" w:space="0" w:color="auto"/>
        <w:left w:val="none" w:sz="0" w:space="0" w:color="auto"/>
        <w:bottom w:val="none" w:sz="0" w:space="0" w:color="auto"/>
        <w:right w:val="none" w:sz="0" w:space="0" w:color="auto"/>
      </w:divBdr>
      <w:divsChild>
        <w:div w:id="277956802">
          <w:marLeft w:val="0"/>
          <w:marRight w:val="0"/>
          <w:marTop w:val="0"/>
          <w:marBottom w:val="0"/>
          <w:divBdr>
            <w:top w:val="none" w:sz="0" w:space="0" w:color="auto"/>
            <w:left w:val="none" w:sz="0" w:space="0" w:color="auto"/>
            <w:bottom w:val="none" w:sz="0" w:space="0" w:color="auto"/>
            <w:right w:val="none" w:sz="0" w:space="0" w:color="auto"/>
          </w:divBdr>
          <w:divsChild>
            <w:div w:id="363334801">
              <w:marLeft w:val="-240"/>
              <w:marRight w:val="-240"/>
              <w:marTop w:val="0"/>
              <w:marBottom w:val="0"/>
              <w:divBdr>
                <w:top w:val="none" w:sz="0" w:space="0" w:color="auto"/>
                <w:left w:val="none" w:sz="0" w:space="0" w:color="auto"/>
                <w:bottom w:val="none" w:sz="0" w:space="0" w:color="auto"/>
                <w:right w:val="none" w:sz="0" w:space="0" w:color="auto"/>
              </w:divBdr>
              <w:divsChild>
                <w:div w:id="1315721165">
                  <w:marLeft w:val="0"/>
                  <w:marRight w:val="0"/>
                  <w:marTop w:val="288"/>
                  <w:marBottom w:val="0"/>
                  <w:divBdr>
                    <w:top w:val="none" w:sz="0" w:space="0" w:color="auto"/>
                    <w:left w:val="none" w:sz="0" w:space="0" w:color="auto"/>
                    <w:bottom w:val="none" w:sz="0" w:space="0" w:color="auto"/>
                    <w:right w:val="none" w:sz="0" w:space="0" w:color="auto"/>
                  </w:divBdr>
                  <w:divsChild>
                    <w:div w:id="427501990">
                      <w:marLeft w:val="0"/>
                      <w:marRight w:val="0"/>
                      <w:marTop w:val="0"/>
                      <w:marBottom w:val="0"/>
                      <w:divBdr>
                        <w:top w:val="none" w:sz="0" w:space="0" w:color="auto"/>
                        <w:left w:val="none" w:sz="0" w:space="0" w:color="auto"/>
                        <w:bottom w:val="none" w:sz="0" w:space="0" w:color="auto"/>
                        <w:right w:val="none" w:sz="0" w:space="0" w:color="auto"/>
                      </w:divBdr>
                      <w:divsChild>
                        <w:div w:id="40642507">
                          <w:marLeft w:val="0"/>
                          <w:marRight w:val="0"/>
                          <w:marTop w:val="0"/>
                          <w:marBottom w:val="0"/>
                          <w:divBdr>
                            <w:top w:val="none" w:sz="0" w:space="0" w:color="auto"/>
                            <w:left w:val="none" w:sz="0" w:space="0" w:color="auto"/>
                            <w:bottom w:val="none" w:sz="0" w:space="0" w:color="auto"/>
                            <w:right w:val="none" w:sz="0" w:space="0" w:color="auto"/>
                          </w:divBdr>
                          <w:divsChild>
                            <w:div w:id="16960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3083</Characters>
  <Application>Microsoft Office Word</Application>
  <DocSecurity>0</DocSecurity>
  <Lines>55</Lines>
  <Paragraphs>32</Paragraphs>
  <ScaleCrop>false</ScaleCrop>
  <HeadingPairs>
    <vt:vector size="2" baseType="variant">
      <vt:variant>
        <vt:lpstr>Titolo</vt:lpstr>
      </vt:variant>
      <vt:variant>
        <vt:i4>1</vt:i4>
      </vt:variant>
    </vt:vector>
  </HeadingPairs>
  <TitlesOfParts>
    <vt:vector size="1" baseType="lpstr">
      <vt:lpstr/>
    </vt:vector>
  </TitlesOfParts>
  <Company>Ministero del Lavoro e delle Politiche Sociali</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Fornara Orsola</dc:creator>
  <cp:lastModifiedBy>Divisione 3</cp:lastModifiedBy>
  <cp:revision>2</cp:revision>
  <dcterms:created xsi:type="dcterms:W3CDTF">2020-11-02T17:58:00Z</dcterms:created>
  <dcterms:modified xsi:type="dcterms:W3CDTF">2020-11-02T17:58:00Z</dcterms:modified>
</cp:coreProperties>
</file>